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97DEF" w14:textId="232202E6" w:rsidR="005A3477" w:rsidRPr="0000393B" w:rsidRDefault="0094592B" w:rsidP="0094592B">
      <w:pPr>
        <w:tabs>
          <w:tab w:val="left" w:pos="3965"/>
        </w:tabs>
        <w:rPr>
          <w:lang w:val="fr-FR"/>
        </w:rPr>
      </w:pPr>
      <w:r>
        <w:rPr>
          <w:lang w:val="fr-FR"/>
        </w:rPr>
        <w:t>ANNEXE 26</w:t>
      </w:r>
      <w:r>
        <w:rPr>
          <w:lang w:val="fr-FR"/>
        </w:rPr>
        <w:tab/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679"/>
        <w:gridCol w:w="1599"/>
        <w:gridCol w:w="4778"/>
      </w:tblGrid>
      <w:tr w:rsidR="005A3477" w:rsidRPr="0000393B" w14:paraId="54B00516" w14:textId="77777777" w:rsidTr="007F50FF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22BF52DD" w:rsidR="005A3477" w:rsidRPr="0000393B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00393B" w:rsidRDefault="005A3477">
            <w:pPr>
              <w:rPr>
                <w:lang w:val="fr-FR"/>
              </w:rPr>
            </w:pPr>
          </w:p>
          <w:p w14:paraId="4FA53113" w14:textId="776EC07C" w:rsidR="005A3477" w:rsidRPr="0000393B" w:rsidRDefault="00C95DA4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00393B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00393B" w:rsidRDefault="005A3477">
            <w:pPr>
              <w:rPr>
                <w:lang w:val="fr-FR"/>
              </w:rPr>
            </w:pPr>
          </w:p>
        </w:tc>
      </w:tr>
      <w:tr w:rsidR="005A3477" w:rsidRPr="0094592B" w14:paraId="26CDA1EB" w14:textId="77777777" w:rsidTr="007F50FF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00393B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EBB0" w14:textId="11C59921" w:rsidR="005A3477" w:rsidRPr="0000393B" w:rsidRDefault="00DA26BF" w:rsidP="00DA26BF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 xml:space="preserve">Expert </w:t>
            </w:r>
            <w:r w:rsidR="00442EA1" w:rsidRPr="0000393B">
              <w:rPr>
                <w:b/>
                <w:color w:val="0000FF"/>
                <w:sz w:val="48"/>
                <w:szCs w:val="48"/>
                <w:lang w:val="fr-FR"/>
              </w:rPr>
              <w:t>e</w:t>
            </w:r>
            <w:r w:rsidR="00461ECB">
              <w:rPr>
                <w:b/>
                <w:color w:val="0000FF"/>
                <w:sz w:val="48"/>
                <w:szCs w:val="48"/>
                <w:lang w:val="fr-FR"/>
              </w:rPr>
              <w:t>n</w:t>
            </w:r>
            <w:r>
              <w:rPr>
                <w:b/>
                <w:color w:val="0000FF"/>
                <w:sz w:val="48"/>
                <w:szCs w:val="48"/>
                <w:lang w:val="fr-FR"/>
              </w:rPr>
              <w:t xml:space="preserve"> prévention incendie</w:t>
            </w:r>
          </w:p>
        </w:tc>
      </w:tr>
      <w:tr w:rsidR="006400C9" w:rsidRPr="002A3AE4" w14:paraId="2244DF67" w14:textId="77777777" w:rsidTr="007F50FF">
        <w:tc>
          <w:tcPr>
            <w:tcW w:w="2739" w:type="dxa"/>
          </w:tcPr>
          <w:p w14:paraId="110C8BB0" w14:textId="77777777" w:rsidR="006400C9" w:rsidRPr="0000393B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</w:tcBorders>
          </w:tcPr>
          <w:p w14:paraId="52B3195B" w14:textId="77777777" w:rsidR="006400C9" w:rsidRPr="0000393B" w:rsidRDefault="006400C9" w:rsidP="00BC37B2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64A142F" w14:textId="568B0E78" w:rsidR="00CB524D" w:rsidRPr="00E24073" w:rsidRDefault="00CB524D" w:rsidP="00CB524D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60113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base,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 ou supérieur.</w:t>
            </w:r>
          </w:p>
          <w:p w14:paraId="737E8787" w14:textId="77777777" w:rsidR="00C95DA4" w:rsidRPr="0000393B" w:rsidRDefault="00C95DA4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822287F" w14:textId="12FFD288" w:rsidR="00C95DA4" w:rsidRDefault="00C95DA4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</w:t>
            </w:r>
            <w:r w:rsidR="00E16C63">
              <w:rPr>
                <w:rFonts w:cs="Arial"/>
                <w:color w:val="000000"/>
                <w:sz w:val="20"/>
                <w:szCs w:val="20"/>
                <w:lang w:val="fr-FR"/>
              </w:rPr>
              <w:t>tion de son analyse des risques.</w:t>
            </w:r>
          </w:p>
          <w:p w14:paraId="1ED6AF96" w14:textId="77777777" w:rsidR="00BC37B2" w:rsidRDefault="00BC37B2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B8956E0" w14:textId="77777777" w:rsidR="00BC37B2" w:rsidRPr="00A34B92" w:rsidRDefault="00BC37B2" w:rsidP="00BC37B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4B92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22F7952D" w14:textId="77777777" w:rsidR="006400C9" w:rsidRDefault="006400C9" w:rsidP="008F0CCA">
            <w:pPr>
              <w:rPr>
                <w:sz w:val="20"/>
                <w:szCs w:val="20"/>
                <w:lang w:val="fr-FR"/>
              </w:rPr>
            </w:pPr>
          </w:p>
          <w:p w14:paraId="76BA8A64" w14:textId="77777777" w:rsidR="00EE7B38" w:rsidRDefault="00EE7B38" w:rsidP="00EE7B3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6D5C27AB" w14:textId="77777777" w:rsidR="00EE7B38" w:rsidRDefault="00EE7B38" w:rsidP="00EE7B3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36AC961" w14:textId="77777777" w:rsidR="00EE7B38" w:rsidRDefault="00EE7B38" w:rsidP="00EE7B3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2957A43F" w14:textId="77777777" w:rsidR="00EE7B38" w:rsidRPr="0000393B" w:rsidRDefault="00EE7B38" w:rsidP="008F0CCA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2A3AE4" w14:paraId="02F6D96F" w14:textId="77777777" w:rsidTr="007F50FF">
        <w:tc>
          <w:tcPr>
            <w:tcW w:w="2739" w:type="dxa"/>
          </w:tcPr>
          <w:p w14:paraId="177A63E0" w14:textId="77777777" w:rsidR="008F0CCA" w:rsidRPr="0000393B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00393B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4D564B96" w14:textId="77777777" w:rsidR="008F0CCA" w:rsidRPr="0000393B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8F0CCA" w:rsidRPr="0000393B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7ABDAA82" w14:textId="77777777" w:rsidR="008F0CCA" w:rsidRPr="0000393B" w:rsidRDefault="008F0CCA" w:rsidP="009A0481">
            <w:pPr>
              <w:rPr>
                <w:sz w:val="20"/>
                <w:szCs w:val="20"/>
                <w:lang w:val="fr-FR"/>
              </w:rPr>
            </w:pPr>
          </w:p>
          <w:p w14:paraId="5923B3D9" w14:textId="6CA96312" w:rsidR="008F0CCA" w:rsidRPr="0000393B" w:rsidRDefault="00DA26BF" w:rsidP="001D4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L’expert en</w:t>
            </w:r>
            <w:r w:rsidR="00555426" w:rsidRPr="0000393B">
              <w:rPr>
                <w:sz w:val="20"/>
                <w:szCs w:val="20"/>
                <w:lang w:val="fr-FR"/>
              </w:rPr>
              <w:t xml:space="preserve"> prévention incendie </w:t>
            </w:r>
            <w:r w:rsidR="00442EA1" w:rsidRPr="0000393B">
              <w:rPr>
                <w:sz w:val="20"/>
                <w:szCs w:val="20"/>
                <w:lang w:val="fr-FR"/>
              </w:rPr>
              <w:t xml:space="preserve">a des </w:t>
            </w:r>
            <w:r w:rsidR="005C53F7" w:rsidRPr="0000393B">
              <w:rPr>
                <w:sz w:val="20"/>
                <w:szCs w:val="20"/>
                <w:lang w:val="fr-FR"/>
              </w:rPr>
              <w:t xml:space="preserve">tâches, compétences et responsabilités au niveau de l'exécution </w:t>
            </w:r>
            <w:r w:rsidR="00442EA1" w:rsidRPr="0000393B">
              <w:rPr>
                <w:sz w:val="20"/>
                <w:szCs w:val="20"/>
                <w:lang w:val="fr-FR"/>
              </w:rPr>
              <w:t>de la politique de prévention zonale. Il fait partie du bureau zonal de prévention et travaille sous la supervision du spécialiste en prévention incendie et/ou d</w:t>
            </w:r>
            <w:r w:rsidR="00BC37B2">
              <w:rPr>
                <w:sz w:val="20"/>
                <w:szCs w:val="20"/>
                <w:lang w:val="fr-FR"/>
              </w:rPr>
              <w:t>’</w:t>
            </w:r>
            <w:r w:rsidR="00442EA1" w:rsidRPr="0000393B">
              <w:rPr>
                <w:sz w:val="20"/>
                <w:szCs w:val="20"/>
                <w:lang w:val="fr-FR"/>
              </w:rPr>
              <w:t>u</w:t>
            </w:r>
            <w:r w:rsidR="00BC37B2">
              <w:rPr>
                <w:sz w:val="20"/>
                <w:szCs w:val="20"/>
                <w:lang w:val="fr-FR"/>
              </w:rPr>
              <w:t>n autre</w:t>
            </w:r>
            <w:r w:rsidR="00442EA1" w:rsidRPr="0000393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expert</w:t>
            </w:r>
            <w:r w:rsidR="00442EA1" w:rsidRPr="0000393B">
              <w:rPr>
                <w:sz w:val="20"/>
                <w:szCs w:val="20"/>
                <w:lang w:val="fr-FR"/>
              </w:rPr>
              <w:t xml:space="preserve"> en prévention incendie.</w:t>
            </w:r>
          </w:p>
          <w:p w14:paraId="04E5E7B6" w14:textId="1C30095D" w:rsidR="008F0CCA" w:rsidRPr="0000393B" w:rsidRDefault="008F0CCA" w:rsidP="001D40D4">
            <w:pPr>
              <w:rPr>
                <w:sz w:val="20"/>
                <w:szCs w:val="20"/>
                <w:lang w:val="fr-FR"/>
              </w:rPr>
            </w:pPr>
            <w:r w:rsidRPr="0000393B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8F0CCA" w:rsidRPr="002A3AE4" w14:paraId="4409692D" w14:textId="77777777" w:rsidTr="007F50FF">
        <w:tc>
          <w:tcPr>
            <w:tcW w:w="2739" w:type="dxa"/>
          </w:tcPr>
          <w:p w14:paraId="46DE9E83" w14:textId="674C4D42" w:rsidR="008F0CCA" w:rsidRPr="0000393B" w:rsidRDefault="008F0CCA" w:rsidP="001A01CB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00393B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1A01CB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00393B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1A01CB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="00937441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43" w:type="dxa"/>
            <w:gridSpan w:val="2"/>
          </w:tcPr>
          <w:p w14:paraId="6573DB5C" w14:textId="77777777" w:rsidR="008F0CCA" w:rsidRPr="0000393B" w:rsidRDefault="008F0CCA" w:rsidP="00A66F68">
            <w:pPr>
              <w:rPr>
                <w:sz w:val="20"/>
                <w:szCs w:val="20"/>
                <w:lang w:val="fr-FR"/>
              </w:rPr>
            </w:pPr>
          </w:p>
          <w:p w14:paraId="22F6A9C1" w14:textId="2A8B3299" w:rsidR="008F0CCA" w:rsidRPr="0000393B" w:rsidRDefault="00DA26BF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Expert en</w:t>
            </w:r>
            <w:r w:rsidR="005C53F7" w:rsidRPr="0000393B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 prévention incendie</w:t>
            </w:r>
          </w:p>
          <w:p w14:paraId="409D5793" w14:textId="77777777" w:rsidR="008F0CCA" w:rsidRPr="0000393B" w:rsidRDefault="008F0CCA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74FFB883" w14:textId="4DC48E1C" w:rsidR="008F0CCA" w:rsidRPr="004B67F8" w:rsidRDefault="00DA26BF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L’expert en</w:t>
            </w:r>
            <w:r w:rsidR="006D198D"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prévention incendie contrôle la sécurité incendie lors de l'utilisation des bâtiments et des institutions à l'aide de la </w:t>
            </w:r>
            <w:r w:rsidR="00937441">
              <w:rPr>
                <w:rFonts w:cs="Arial"/>
                <w:color w:val="000000"/>
                <w:sz w:val="20"/>
                <w:szCs w:val="20"/>
                <w:lang w:val="fr-FR"/>
              </w:rPr>
              <w:t>réglementation</w:t>
            </w:r>
            <w:r w:rsidR="006D198D"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des rapports de prévention incendie. En outre, après visite sur </w:t>
            </w:r>
            <w:r w:rsidR="006D198D" w:rsidRPr="004B67F8">
              <w:rPr>
                <w:rFonts w:cs="Arial"/>
                <w:color w:val="000000"/>
                <w:sz w:val="20"/>
                <w:szCs w:val="20"/>
                <w:lang w:val="fr-FR"/>
              </w:rPr>
              <w:t>site, il rapport à son dirigeant et à l'utilisateur.</w:t>
            </w:r>
          </w:p>
          <w:p w14:paraId="413F4E4E" w14:textId="7B4504FD" w:rsidR="006D198D" w:rsidRPr="004B67F8" w:rsidRDefault="006D198D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B67F8">
              <w:rPr>
                <w:rFonts w:cs="Arial"/>
                <w:color w:val="000000"/>
                <w:sz w:val="20"/>
                <w:szCs w:val="20"/>
                <w:lang w:val="fr-FR"/>
              </w:rPr>
              <w:t>Il rapporte les plaintes au dirigeant.</w:t>
            </w:r>
          </w:p>
          <w:p w14:paraId="37D0901B" w14:textId="77777777" w:rsidR="00F4149A" w:rsidRPr="004B67F8" w:rsidRDefault="00F4149A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F503CC6" w14:textId="74CCEF21" w:rsidR="008F0CCA" w:rsidRPr="004B67F8" w:rsidRDefault="00EF2A47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B67F8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possibles (non limitatives) </w:t>
            </w:r>
            <w:r w:rsidR="008F0CCA" w:rsidRPr="004B67F8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1FF6CE23" w14:textId="1B125519" w:rsidR="00937441" w:rsidRPr="004B67F8" w:rsidRDefault="006D198D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Contrôle la sécurité incendie lors de l'utilisation des constructions et des</w:t>
            </w:r>
            <w:r w:rsidR="00937441"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 établissements.</w:t>
            </w:r>
          </w:p>
          <w:p w14:paraId="2BF188E6" w14:textId="009852CD" w:rsidR="007C5D98" w:rsidRPr="004B67F8" w:rsidRDefault="0074666C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Traite des demandes et des questions liées à la sécurité d’incendie</w:t>
            </w:r>
            <w:r w:rsidR="004B67F8" w:rsidRPr="004B67F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2B520FFC" w14:textId="77777777" w:rsidR="00BC37B2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Effectue les contrôles selon les procédures applicables. </w:t>
            </w:r>
          </w:p>
          <w:p w14:paraId="39A0AE37" w14:textId="063C1017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Est à même de planifier efficacement ses activités, de les réaliser de manière effective et de signaler les problèmes de capacité à temps.</w:t>
            </w:r>
          </w:p>
          <w:p w14:paraId="47BD54EA" w14:textId="77777777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Effectue de nouveaux contrôles le cas échéant.</w:t>
            </w:r>
          </w:p>
          <w:p w14:paraId="50C50212" w14:textId="77777777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Connaît la réglementation en vigueur.</w:t>
            </w:r>
          </w:p>
          <w:p w14:paraId="46899E0D" w14:textId="6A0E9E55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Etablit des rapports à la suite de contrôles</w:t>
            </w:r>
            <w:r w:rsidR="00F4149A" w:rsidRPr="004B67F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F4149A" w:rsidRPr="004B67F8">
              <w:rPr>
                <w:rFonts w:ascii="Arial" w:hAnsi="Arial" w:cs="Arial"/>
                <w:sz w:val="20"/>
                <w:szCs w:val="20"/>
                <w:lang w:val="fr-FR"/>
              </w:rPr>
              <w:t>sur base des normes de bases, de textes régionaux, communautaire ou locaux</w:t>
            </w: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4941F827" w14:textId="57398975" w:rsidR="007C5D98" w:rsidRPr="004B67F8" w:rsidRDefault="007C5D98" w:rsidP="003541D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Etablit des rapports en réaction à des </w:t>
            </w:r>
            <w:r w:rsidR="0074666C" w:rsidRPr="004B67F8">
              <w:rPr>
                <w:rFonts w:ascii="Arial" w:hAnsi="Arial" w:cs="Arial"/>
                <w:sz w:val="20"/>
                <w:szCs w:val="20"/>
                <w:lang w:val="fr-FR"/>
              </w:rPr>
              <w:t xml:space="preserve">demandes </w:t>
            </w:r>
            <w:r w:rsidRPr="004B67F8">
              <w:rPr>
                <w:rFonts w:ascii="Arial" w:hAnsi="Arial" w:cs="Arial"/>
                <w:sz w:val="20"/>
                <w:szCs w:val="20"/>
                <w:lang w:val="fr-FR"/>
              </w:rPr>
              <w:t>et des questions.</w:t>
            </w:r>
          </w:p>
          <w:p w14:paraId="53A38A9C" w14:textId="01D934D4" w:rsidR="00BC37B2" w:rsidRPr="0000393B" w:rsidRDefault="00BC37B2" w:rsidP="00BC37B2">
            <w:pPr>
              <w:pStyle w:val="Lijstalinea"/>
              <w:ind w:left="238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8F0CCA" w:rsidRPr="002A3AE4" w14:paraId="4445A9E7" w14:textId="77777777" w:rsidTr="007F50FF">
        <w:tc>
          <w:tcPr>
            <w:tcW w:w="2739" w:type="dxa"/>
          </w:tcPr>
          <w:p w14:paraId="2CDB6464" w14:textId="2881424C" w:rsidR="008F0CCA" w:rsidRPr="0000393B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475A36F1" w:rsidR="008F0CCA" w:rsidRPr="0000393B" w:rsidRDefault="008F0CCA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44961D58" w14:textId="77777777" w:rsidR="008F0CCA" w:rsidRPr="0000393B" w:rsidRDefault="008F0CCA" w:rsidP="00C24CDE">
            <w:pPr>
              <w:rPr>
                <w:sz w:val="20"/>
                <w:szCs w:val="20"/>
                <w:lang w:val="fr-FR"/>
              </w:rPr>
            </w:pPr>
          </w:p>
          <w:p w14:paraId="75A1F8B3" w14:textId="77777777" w:rsidR="00EF2A47" w:rsidRPr="0000393B" w:rsidRDefault="00EF2A47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00393B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AFA904B" w14:textId="297E77CC" w:rsidR="00264D21" w:rsidRPr="0000393B" w:rsidRDefault="00264D21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61CEE83B" w14:textId="77777777" w:rsidR="00EF2A47" w:rsidRPr="0000393B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9B00D5A" w14:textId="77777777" w:rsidR="00EF2A47" w:rsidRPr="0000393B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51FD2171" w14:textId="77777777" w:rsidR="00EF2A47" w:rsidRPr="0000393B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93B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138F8998" w14:textId="77777777" w:rsidR="00BC37B2" w:rsidRDefault="00BC37B2" w:rsidP="00BC37B2">
            <w:pPr>
              <w:rPr>
                <w:sz w:val="20"/>
                <w:szCs w:val="20"/>
                <w:lang w:val="fr-FR"/>
              </w:rPr>
            </w:pPr>
          </w:p>
          <w:p w14:paraId="63B0E008" w14:textId="77777777" w:rsidR="00BC37B2" w:rsidRDefault="00BC37B2" w:rsidP="00BC37B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1AF8579C" w14:textId="4D52270C" w:rsidR="008F0CCA" w:rsidRPr="0000393B" w:rsidRDefault="008F0CCA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7F50FF" w:rsidRPr="002A3AE4" w14:paraId="0A978AB1" w14:textId="77777777" w:rsidTr="007F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9" w:type="dxa"/>
          </w:tcPr>
          <w:p w14:paraId="21249113" w14:textId="77777777" w:rsidR="007F50FF" w:rsidRPr="005665D9" w:rsidRDefault="007F50FF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12DE4CA3" w14:textId="77777777" w:rsidR="007F50FF" w:rsidRPr="005665D9" w:rsidRDefault="007F50FF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15" w:type="dxa"/>
          </w:tcPr>
          <w:p w14:paraId="752ECEAC" w14:textId="77777777" w:rsidR="007F50FF" w:rsidRDefault="007F50FF" w:rsidP="005665D9">
            <w:pPr>
              <w:rPr>
                <w:sz w:val="20"/>
                <w:szCs w:val="20"/>
                <w:lang w:val="fr-FR"/>
              </w:rPr>
            </w:pPr>
          </w:p>
          <w:p w14:paraId="1FBB84F0" w14:textId="77777777" w:rsidR="007F50FF" w:rsidRPr="005665D9" w:rsidRDefault="007F50FF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77E7A6C1" w14:textId="77777777" w:rsidR="007F50FF" w:rsidRPr="005665D9" w:rsidRDefault="007F50FF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28" w:type="dxa"/>
          </w:tcPr>
          <w:p w14:paraId="0CF52377" w14:textId="77777777" w:rsidR="007F50FF" w:rsidRDefault="007F50FF" w:rsidP="005665D9">
            <w:pPr>
              <w:rPr>
                <w:sz w:val="20"/>
                <w:szCs w:val="20"/>
                <w:lang w:val="fr-FR"/>
              </w:rPr>
            </w:pPr>
          </w:p>
          <w:p w14:paraId="78203F0A" w14:textId="77777777" w:rsidR="007F50FF" w:rsidRDefault="002A3AE4" w:rsidP="005665D9">
            <w:pPr>
              <w:rPr>
                <w:sz w:val="20"/>
                <w:szCs w:val="20"/>
                <w:lang w:val="fr-FR"/>
              </w:rPr>
            </w:pPr>
            <w:r w:rsidRPr="002A3AE4">
              <w:rPr>
                <w:sz w:val="20"/>
                <w:szCs w:val="20"/>
                <w:lang w:val="fr-FR"/>
              </w:rPr>
              <w:t xml:space="preserve">Obtention et maintien du certificat de PREV-2 selon l’AM du 21 mars 2019 relatif à la formation et au certificat PREV-1, PREV-2 et PREV-3 pour les membres du personnel des zones de secours </w:t>
            </w:r>
          </w:p>
          <w:p w14:paraId="77EAED1E" w14:textId="1554FAA5" w:rsidR="002A3AE4" w:rsidRPr="005665D9" w:rsidRDefault="002A3AE4" w:rsidP="005665D9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14:paraId="5FAF8044" w14:textId="77777777" w:rsidR="00C1200D" w:rsidRDefault="00C1200D" w:rsidP="00E2473C">
      <w:pPr>
        <w:rPr>
          <w:lang w:val="fr-FR"/>
        </w:rPr>
      </w:pPr>
    </w:p>
    <w:p w14:paraId="3C45635A" w14:textId="77777777" w:rsidR="00BC37B2" w:rsidRDefault="00BC37B2" w:rsidP="00E2473C">
      <w:pPr>
        <w:rPr>
          <w:lang w:val="fr-FR"/>
        </w:rPr>
      </w:pPr>
    </w:p>
    <w:p w14:paraId="460E122F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24DC6639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64A67AF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F786948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96BDEA7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A496AEF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D982A7D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1A2EB2E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2252185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583D50A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5D90C5C9" w14:textId="77777777" w:rsidR="00BC37B2" w:rsidRPr="007335DC" w:rsidRDefault="00BC37B2" w:rsidP="00BC37B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4D014DAF" w14:textId="77777777" w:rsidR="00BC37B2" w:rsidRPr="0000393B" w:rsidRDefault="00BC37B2" w:rsidP="00E2473C">
      <w:pPr>
        <w:rPr>
          <w:lang w:val="fr-FR"/>
        </w:rPr>
      </w:pPr>
    </w:p>
    <w:sectPr w:rsidR="00BC37B2" w:rsidRPr="0000393B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34B4" w14:textId="77777777" w:rsidR="00CF704F" w:rsidRDefault="00CF704F" w:rsidP="008F4853">
      <w:r>
        <w:separator/>
      </w:r>
    </w:p>
  </w:endnote>
  <w:endnote w:type="continuationSeparator" w:id="0">
    <w:p w14:paraId="23E40B47" w14:textId="77777777" w:rsidR="00CF704F" w:rsidRDefault="00CF704F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4879" w14:textId="77777777" w:rsidR="00CF704F" w:rsidRDefault="00CF704F" w:rsidP="008F4853">
      <w:r>
        <w:separator/>
      </w:r>
    </w:p>
  </w:footnote>
  <w:footnote w:type="continuationSeparator" w:id="0">
    <w:p w14:paraId="30228278" w14:textId="77777777" w:rsidR="00CF704F" w:rsidRDefault="00CF704F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918"/>
    <w:multiLevelType w:val="hybridMultilevel"/>
    <w:tmpl w:val="BCD26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10C62"/>
    <w:multiLevelType w:val="hybridMultilevel"/>
    <w:tmpl w:val="987C613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29FE"/>
    <w:multiLevelType w:val="hybridMultilevel"/>
    <w:tmpl w:val="4A621D18"/>
    <w:lvl w:ilvl="0" w:tplc="36166D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1"/>
    <w:rsid w:val="0000393B"/>
    <w:rsid w:val="00026778"/>
    <w:rsid w:val="00110B2A"/>
    <w:rsid w:val="00123D5E"/>
    <w:rsid w:val="001652F0"/>
    <w:rsid w:val="001A01CB"/>
    <w:rsid w:val="001D40D4"/>
    <w:rsid w:val="001F4078"/>
    <w:rsid w:val="00264D21"/>
    <w:rsid w:val="002A3AE4"/>
    <w:rsid w:val="002A4AEF"/>
    <w:rsid w:val="002B25F0"/>
    <w:rsid w:val="00315BEA"/>
    <w:rsid w:val="003204FF"/>
    <w:rsid w:val="00332F7E"/>
    <w:rsid w:val="003541D6"/>
    <w:rsid w:val="00354323"/>
    <w:rsid w:val="0035647D"/>
    <w:rsid w:val="0035708C"/>
    <w:rsid w:val="00377A38"/>
    <w:rsid w:val="003A0854"/>
    <w:rsid w:val="003E6EDB"/>
    <w:rsid w:val="00401C62"/>
    <w:rsid w:val="00442EA1"/>
    <w:rsid w:val="00461ECB"/>
    <w:rsid w:val="004B67F8"/>
    <w:rsid w:val="00524992"/>
    <w:rsid w:val="00555426"/>
    <w:rsid w:val="005A3477"/>
    <w:rsid w:val="005C4DF6"/>
    <w:rsid w:val="005C53F7"/>
    <w:rsid w:val="0060113D"/>
    <w:rsid w:val="006400C9"/>
    <w:rsid w:val="006A163E"/>
    <w:rsid w:val="006D198D"/>
    <w:rsid w:val="00727D50"/>
    <w:rsid w:val="0074666C"/>
    <w:rsid w:val="007C5D98"/>
    <w:rsid w:val="007E416B"/>
    <w:rsid w:val="007F2A66"/>
    <w:rsid w:val="007F50FF"/>
    <w:rsid w:val="008655BE"/>
    <w:rsid w:val="008F0CCA"/>
    <w:rsid w:val="008F4853"/>
    <w:rsid w:val="00917175"/>
    <w:rsid w:val="00927DFA"/>
    <w:rsid w:val="00937441"/>
    <w:rsid w:val="0094592B"/>
    <w:rsid w:val="00973B7D"/>
    <w:rsid w:val="00981462"/>
    <w:rsid w:val="009A0481"/>
    <w:rsid w:val="00A6262C"/>
    <w:rsid w:val="00A66F68"/>
    <w:rsid w:val="00AA6D88"/>
    <w:rsid w:val="00B2019B"/>
    <w:rsid w:val="00B311DD"/>
    <w:rsid w:val="00B54CCE"/>
    <w:rsid w:val="00B613F3"/>
    <w:rsid w:val="00B65117"/>
    <w:rsid w:val="00B85459"/>
    <w:rsid w:val="00BC37B2"/>
    <w:rsid w:val="00C1200D"/>
    <w:rsid w:val="00C95DA4"/>
    <w:rsid w:val="00CB524D"/>
    <w:rsid w:val="00CC5128"/>
    <w:rsid w:val="00CE6A6F"/>
    <w:rsid w:val="00CF704F"/>
    <w:rsid w:val="00D27580"/>
    <w:rsid w:val="00D93787"/>
    <w:rsid w:val="00DA26BF"/>
    <w:rsid w:val="00E16C63"/>
    <w:rsid w:val="00E2473C"/>
    <w:rsid w:val="00E9399D"/>
    <w:rsid w:val="00EC4FE1"/>
    <w:rsid w:val="00ED2FA0"/>
    <w:rsid w:val="00EE7B38"/>
    <w:rsid w:val="00EF2A47"/>
    <w:rsid w:val="00F1753B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37900F"/>
  <w14:defaultImageDpi w14:val="300"/>
  <w15:docId w15:val="{27A146BE-0DD9-4F95-88A5-7724FAE3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50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50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50FF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50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50FF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3187B-6C9A-4848-8F31-48B1D4EF0019}"/>
</file>

<file path=customXml/itemProps2.xml><?xml version="1.0" encoding="utf-8"?>
<ds:datastoreItem xmlns:ds="http://schemas.openxmlformats.org/officeDocument/2006/customXml" ds:itemID="{8F8B7218-2D6B-4EDA-983E-1164C761B609}"/>
</file>

<file path=customXml/itemProps3.xml><?xml version="1.0" encoding="utf-8"?>
<ds:datastoreItem xmlns:ds="http://schemas.openxmlformats.org/officeDocument/2006/customXml" ds:itemID="{5E983961-98FE-482C-83A3-079A2AFB4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Brisaert Ivo</cp:lastModifiedBy>
  <cp:revision>2</cp:revision>
  <cp:lastPrinted>2014-05-05T09:59:00Z</cp:lastPrinted>
  <dcterms:created xsi:type="dcterms:W3CDTF">2021-01-22T09:17:00Z</dcterms:created>
  <dcterms:modified xsi:type="dcterms:W3CDTF">2021-01-22T09:17:00Z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