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BEB04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3AC61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8DA5C" w14:textId="77777777" w:rsidR="004A46C0" w:rsidRDefault="004A46C0" w:rsidP="00D0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DD3794" w14:textId="6C98FD93" w:rsidR="0030137C" w:rsidRPr="00662593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2593">
        <w:rPr>
          <w:rFonts w:ascii="Arial" w:hAnsi="Arial" w:cs="Arial"/>
          <w:b/>
          <w:sz w:val="20"/>
          <w:szCs w:val="20"/>
        </w:rPr>
        <w:t xml:space="preserve">BIJLAGE </w:t>
      </w:r>
      <w:r w:rsidR="00FD5EF1" w:rsidRPr="00662593">
        <w:rPr>
          <w:rFonts w:ascii="Arial" w:hAnsi="Arial" w:cs="Arial"/>
          <w:b/>
          <w:sz w:val="20"/>
          <w:szCs w:val="20"/>
        </w:rPr>
        <w:t>3</w:t>
      </w:r>
      <w:r w:rsidR="00922F88" w:rsidRPr="00662593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</w:p>
    <w:p w14:paraId="3DA9FE56" w14:textId="77777777" w:rsidR="005A25E3" w:rsidRPr="005A25E3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561"/>
        <w:gridCol w:w="2828"/>
        <w:gridCol w:w="616"/>
        <w:gridCol w:w="2034"/>
        <w:gridCol w:w="1023"/>
      </w:tblGrid>
      <w:tr w:rsidR="00D0179D" w:rsidRPr="0005118D" w14:paraId="0E3CD836" w14:textId="77777777" w:rsidTr="00815700">
        <w:trPr>
          <w:trHeight w:val="275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3D8EED5A" w14:textId="77777777" w:rsidR="00D0179D" w:rsidRPr="009A0481" w:rsidRDefault="00D0179D" w:rsidP="00442B6E"/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3473CE" w14:textId="77777777" w:rsidR="00D0179D" w:rsidRPr="004A46C0" w:rsidRDefault="00D0179D" w:rsidP="00442B6E">
            <w:pPr>
              <w:rPr>
                <w:sz w:val="52"/>
                <w:szCs w:val="52"/>
              </w:rPr>
            </w:pPr>
          </w:p>
          <w:p w14:paraId="0A4B8513" w14:textId="77777777" w:rsidR="00D0179D" w:rsidRPr="004A46C0" w:rsidRDefault="00D0179D" w:rsidP="00442B6E">
            <w:pPr>
              <w:jc w:val="center"/>
              <w:rPr>
                <w:sz w:val="52"/>
                <w:szCs w:val="52"/>
              </w:rPr>
            </w:pPr>
            <w:r w:rsidRPr="004A46C0">
              <w:rPr>
                <w:color w:val="0000FF"/>
                <w:sz w:val="52"/>
                <w:szCs w:val="52"/>
                <w:u w:val="single"/>
              </w:rPr>
              <w:t>Functiebeschrijving</w:t>
            </w:r>
          </w:p>
        </w:tc>
      </w:tr>
      <w:tr w:rsidR="00D0179D" w:rsidRPr="0005118D" w14:paraId="685D056D" w14:textId="77777777" w:rsidTr="00815700">
        <w:trPr>
          <w:trHeight w:val="275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4F3F4CD5" w14:textId="77777777" w:rsidR="00D0179D" w:rsidRPr="009A0481" w:rsidRDefault="00D0179D" w:rsidP="00442B6E"/>
        </w:tc>
        <w:tc>
          <w:tcPr>
            <w:tcW w:w="7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37094" w14:textId="77777777" w:rsidR="00D0179D" w:rsidRPr="004A46C0" w:rsidRDefault="00D0179D" w:rsidP="00442B6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52"/>
                <w:szCs w:val="52"/>
              </w:rPr>
            </w:pPr>
            <w:r w:rsidRPr="004A46C0">
              <w:rPr>
                <w:b/>
                <w:color w:val="0000FF"/>
                <w:sz w:val="52"/>
                <w:szCs w:val="52"/>
              </w:rPr>
              <w:t>Dir-CP-</w:t>
            </w:r>
            <w:proofErr w:type="spellStart"/>
            <w:r w:rsidRPr="004A46C0">
              <w:rPr>
                <w:b/>
                <w:color w:val="0000FF"/>
                <w:sz w:val="52"/>
                <w:szCs w:val="52"/>
              </w:rPr>
              <w:t>Ops</w:t>
            </w:r>
            <w:proofErr w:type="spellEnd"/>
          </w:p>
          <w:p w14:paraId="49B2B881" w14:textId="77777777" w:rsidR="00D0179D" w:rsidRPr="004A46C0" w:rsidRDefault="00D0179D" w:rsidP="00442B6E">
            <w:pPr>
              <w:rPr>
                <w:sz w:val="52"/>
                <w:szCs w:val="52"/>
              </w:rPr>
            </w:pPr>
          </w:p>
        </w:tc>
      </w:tr>
      <w:tr w:rsidR="00D0179D" w:rsidRPr="00824EDF" w14:paraId="5098CA7A" w14:textId="77777777" w:rsidTr="00815700">
        <w:tc>
          <w:tcPr>
            <w:tcW w:w="2206" w:type="dxa"/>
          </w:tcPr>
          <w:p w14:paraId="53A61B43" w14:textId="77777777" w:rsidR="00D0179D" w:rsidRPr="00CE3E2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  <w:p w14:paraId="2670AC10" w14:textId="77777777" w:rsidR="00D0179D" w:rsidRPr="00CE3E2D" w:rsidRDefault="00D0179D" w:rsidP="00442B6E">
            <w:pPr>
              <w:rPr>
                <w:sz w:val="20"/>
                <w:szCs w:val="20"/>
              </w:rPr>
            </w:pPr>
            <w:r w:rsidRPr="00CE3E2D">
              <w:rPr>
                <w:b/>
                <w:color w:val="0000FF"/>
                <w:sz w:val="20"/>
                <w:szCs w:val="20"/>
              </w:rPr>
              <w:t>Doel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85A9AB" w14:textId="77777777" w:rsidR="00D0179D" w:rsidRPr="00CE3E2D" w:rsidRDefault="00D0179D" w:rsidP="002B400A">
            <w:pPr>
              <w:jc w:val="both"/>
              <w:rPr>
                <w:sz w:val="20"/>
                <w:szCs w:val="20"/>
              </w:rPr>
            </w:pPr>
          </w:p>
          <w:p w14:paraId="61CAE660" w14:textId="77777777" w:rsidR="00D0179D" w:rsidRPr="00CF722F" w:rsidRDefault="00D0179D" w:rsidP="002B400A">
            <w:pPr>
              <w:pStyle w:val="Paragraphedeliste"/>
              <w:ind w:left="346"/>
              <w:jc w:val="both"/>
              <w:rPr>
                <w:rFonts w:ascii="Arial" w:hAnsi="Arial"/>
                <w:sz w:val="20"/>
                <w:szCs w:val="20"/>
              </w:rPr>
            </w:pPr>
            <w:r w:rsidRPr="00824EDF">
              <w:rPr>
                <w:rFonts w:ascii="Arial" w:hAnsi="Arial"/>
                <w:color w:val="000000"/>
                <w:sz w:val="20"/>
                <w:szCs w:val="20"/>
              </w:rPr>
              <w:t xml:space="preserve">De multidisciplinaire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operationele </w:t>
            </w:r>
            <w:r w:rsidRPr="00824EDF">
              <w:rPr>
                <w:rFonts w:ascii="Arial" w:hAnsi="Arial"/>
                <w:color w:val="000000"/>
                <w:sz w:val="20"/>
                <w:szCs w:val="20"/>
              </w:rPr>
              <w:t>coördinatie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opnemen</w:t>
            </w:r>
            <w:r w:rsidRPr="00824EDF">
              <w:rPr>
                <w:rFonts w:ascii="Arial" w:hAnsi="Arial"/>
                <w:color w:val="000000"/>
                <w:sz w:val="20"/>
                <w:szCs w:val="20"/>
              </w:rPr>
              <w:t xml:space="preserve"> op het terrein bij grootschalige incidenten en noodsituaties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zodra multidisciplinaire coördinatiemaatregelen nodig zijn om de noodsituatie te beheersen.</w:t>
            </w:r>
            <w:r w:rsidRPr="00824ED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3FF4E83C" w14:textId="6CB3D328" w:rsidR="00D0179D" w:rsidRDefault="006962BF" w:rsidP="002B400A">
            <w:pPr>
              <w:pStyle w:val="Paragraphedeliste"/>
              <w:ind w:left="346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 xml:space="preserve">e volledige verantwoordelijkheid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nemen 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 xml:space="preserve">van de coördinatie van de operaties en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in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>staa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 xml:space="preserve"> voor de beleidscoördinatie </w:t>
            </w:r>
            <w:r w:rsidR="00A54A3C" w:rsidRPr="00A54A3C">
              <w:rPr>
                <w:rFonts w:ascii="Arial" w:hAnsi="Arial"/>
                <w:color w:val="000000"/>
                <w:sz w:val="20"/>
                <w:szCs w:val="20"/>
              </w:rPr>
              <w:t>totdat de bevoegde overheid de overname op haar niveau of op nationaal niveau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bekend maakt</w:t>
            </w:r>
            <w:r w:rsidR="00A54A3C" w:rsidRPr="00A54A3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>e communicatie tussen de CP-</w:t>
            </w:r>
            <w:proofErr w:type="spellStart"/>
            <w:r w:rsidR="00D0179D">
              <w:rPr>
                <w:rFonts w:ascii="Arial" w:hAnsi="Arial"/>
                <w:color w:val="000000"/>
                <w:sz w:val="20"/>
                <w:szCs w:val="20"/>
              </w:rPr>
              <w:t>Ops</w:t>
            </w:r>
            <w:proofErr w:type="spellEnd"/>
            <w:r w:rsidR="00D0179D">
              <w:rPr>
                <w:rFonts w:ascii="Arial" w:hAnsi="Arial"/>
                <w:color w:val="000000"/>
                <w:sz w:val="20"/>
                <w:szCs w:val="20"/>
              </w:rPr>
              <w:t xml:space="preserve"> en het coördinatiecomité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garanderen</w:t>
            </w:r>
            <w:r w:rsidR="00D0179D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14:paraId="317E2D33" w14:textId="77777777" w:rsidR="00D0179D" w:rsidRPr="00824EDF" w:rsidRDefault="00D0179D" w:rsidP="002B400A">
            <w:pPr>
              <w:pStyle w:val="Paragraphedeliste"/>
              <w:ind w:left="34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0179D" w:rsidRPr="0095434D" w14:paraId="3FEB0B84" w14:textId="77777777" w:rsidTr="00815700">
        <w:tc>
          <w:tcPr>
            <w:tcW w:w="2206" w:type="dxa"/>
          </w:tcPr>
          <w:p w14:paraId="109C9911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  <w:p w14:paraId="62A8E67C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  <w:r w:rsidRPr="00CF722F">
              <w:rPr>
                <w:b/>
                <w:noProof/>
                <w:color w:val="0000FF"/>
                <w:sz w:val="20"/>
                <w:szCs w:val="20"/>
                <w:lang w:val="nl-BE"/>
              </w:rPr>
              <w:t>Kerntaken en takengebied</w:t>
            </w:r>
          </w:p>
        </w:tc>
        <w:tc>
          <w:tcPr>
            <w:tcW w:w="7082" w:type="dxa"/>
            <w:gridSpan w:val="4"/>
            <w:shd w:val="clear" w:color="auto" w:fill="auto"/>
          </w:tcPr>
          <w:p w14:paraId="049EFD90" w14:textId="77777777" w:rsidR="00D0179D" w:rsidRDefault="00D0179D" w:rsidP="002B400A">
            <w:pPr>
              <w:jc w:val="both"/>
              <w:rPr>
                <w:sz w:val="20"/>
                <w:szCs w:val="20"/>
              </w:rPr>
            </w:pPr>
          </w:p>
          <w:p w14:paraId="627240F9" w14:textId="77777777" w:rsidR="00D0179D" w:rsidRPr="00D52561" w:rsidRDefault="00D0179D" w:rsidP="002B400A">
            <w:pPr>
              <w:jc w:val="both"/>
              <w:outlineLvl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Kernresultaat</w:t>
            </w:r>
            <w:r w:rsidRPr="00D52561">
              <w:rPr>
                <w:b/>
                <w:sz w:val="20"/>
                <w:szCs w:val="20"/>
                <w:u w:val="single"/>
              </w:rPr>
              <w:t>gebieden</w:t>
            </w:r>
          </w:p>
          <w:p w14:paraId="54336B1F" w14:textId="77777777" w:rsidR="00D0179D" w:rsidRPr="00715C52" w:rsidRDefault="00D0179D" w:rsidP="002B400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3A155DC" w14:textId="77777777" w:rsidR="00D0179D" w:rsidRPr="00D52561" w:rsidRDefault="00D0179D" w:rsidP="002B400A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ind w:hanging="65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Multidisciplinair</w:t>
            </w:r>
            <w:r w:rsidRPr="00D52561">
              <w:rPr>
                <w:sz w:val="20"/>
                <w:szCs w:val="20"/>
                <w:u w:val="single"/>
              </w:rPr>
              <w:t xml:space="preserve"> coördinator</w:t>
            </w:r>
          </w:p>
          <w:p w14:paraId="6F67AB57" w14:textId="77777777" w:rsidR="00D0179D" w:rsidRPr="00715C52" w:rsidRDefault="00D0179D" w:rsidP="002B400A">
            <w:pPr>
              <w:jc w:val="both"/>
              <w:rPr>
                <w:sz w:val="20"/>
                <w:szCs w:val="20"/>
              </w:rPr>
            </w:pPr>
          </w:p>
          <w:p w14:paraId="77252150" w14:textId="77777777" w:rsidR="00D0179D" w:rsidRPr="00715C52" w:rsidRDefault="00D0179D" w:rsidP="002B40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715C52">
              <w:rPr>
                <w:color w:val="000000"/>
                <w:sz w:val="20"/>
                <w:szCs w:val="20"/>
              </w:rPr>
              <w:t>ptreden als operationeel</w:t>
            </w:r>
            <w:r>
              <w:rPr>
                <w:color w:val="000000"/>
                <w:sz w:val="20"/>
                <w:szCs w:val="20"/>
              </w:rPr>
              <w:t xml:space="preserve"> multidisciplinair</w:t>
            </w:r>
            <w:r w:rsidRPr="00715C52">
              <w:rPr>
                <w:color w:val="000000"/>
                <w:sz w:val="20"/>
                <w:szCs w:val="20"/>
              </w:rPr>
              <w:t xml:space="preserve"> c</w:t>
            </w:r>
            <w:r>
              <w:rPr>
                <w:color w:val="000000"/>
                <w:sz w:val="20"/>
                <w:szCs w:val="20"/>
              </w:rPr>
              <w:t>oördinator bij</w:t>
            </w:r>
            <w:r w:rsidRPr="00715C52">
              <w:rPr>
                <w:color w:val="000000"/>
                <w:sz w:val="20"/>
                <w:szCs w:val="20"/>
              </w:rPr>
              <w:t xml:space="preserve"> interventies </w:t>
            </w:r>
            <w:r>
              <w:rPr>
                <w:color w:val="000000"/>
                <w:sz w:val="20"/>
                <w:szCs w:val="20"/>
              </w:rPr>
              <w:t xml:space="preserve">waarbij een coördinatie tussen meerdere disciplines nodig is. </w:t>
            </w:r>
          </w:p>
          <w:p w14:paraId="667BEBE0" w14:textId="77777777" w:rsidR="00D0179D" w:rsidRPr="00715C52" w:rsidRDefault="00D0179D" w:rsidP="002B400A">
            <w:pPr>
              <w:jc w:val="both"/>
              <w:rPr>
                <w:sz w:val="20"/>
                <w:szCs w:val="20"/>
              </w:rPr>
            </w:pPr>
          </w:p>
          <w:p w14:paraId="3B14ED48" w14:textId="77777777" w:rsidR="00D0179D" w:rsidRPr="00715C52" w:rsidRDefault="00D0179D" w:rsidP="002B400A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</w:rPr>
            </w:pPr>
            <w:r w:rsidRPr="00715C52">
              <w:rPr>
                <w:sz w:val="20"/>
                <w:szCs w:val="20"/>
                <w:u w:val="single"/>
              </w:rPr>
              <w:t>Mogelijke taken (niet limitatief):</w:t>
            </w:r>
          </w:p>
          <w:p w14:paraId="2CDFB521" w14:textId="5E950529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Oprichten en leiden van de commandopost operaties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1D3481E4" w14:textId="39FD8F6C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Coördineren van m</w:t>
            </w:r>
            <w:r w:rsidR="00354BEF">
              <w:rPr>
                <w:color w:val="000000"/>
                <w:sz w:val="20"/>
                <w:szCs w:val="20"/>
              </w:rPr>
              <w:t>ultidisciplinaire hulpverlening.</w:t>
            </w:r>
          </w:p>
          <w:p w14:paraId="48F4C2F9" w14:textId="4F73E2F9" w:rsidR="004F1EB5" w:rsidRDefault="00D0179D" w:rsidP="004F1EB5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Coördineren van het beleid </w:t>
            </w:r>
            <w:r w:rsidR="004F1EB5" w:rsidRPr="004F1EB5">
              <w:rPr>
                <w:color w:val="000000"/>
                <w:sz w:val="20"/>
                <w:szCs w:val="20"/>
              </w:rPr>
              <w:t>totdat de bevoegde overheid hem op de hoogte brengt van de overname op haar niveau of op nationaal niveau</w:t>
            </w:r>
            <w:r w:rsidR="00354BEF">
              <w:rPr>
                <w:color w:val="000000"/>
                <w:sz w:val="20"/>
                <w:szCs w:val="20"/>
              </w:rPr>
              <w:t>.</w:t>
            </w:r>
            <w:r w:rsidR="004F1EB5" w:rsidRPr="004F1EB5" w:rsidDel="004F1EB5">
              <w:rPr>
                <w:color w:val="000000"/>
                <w:sz w:val="20"/>
                <w:szCs w:val="20"/>
              </w:rPr>
              <w:t xml:space="preserve"> </w:t>
            </w:r>
            <w:r w:rsidR="004F1EB5">
              <w:rPr>
                <w:color w:val="000000"/>
                <w:sz w:val="20"/>
                <w:szCs w:val="20"/>
              </w:rPr>
              <w:t>D</w:t>
            </w:r>
            <w:r w:rsidR="004F1EB5" w:rsidRPr="004F1EB5">
              <w:rPr>
                <w:color w:val="000000"/>
                <w:sz w:val="20"/>
                <w:szCs w:val="20"/>
              </w:rPr>
              <w:t xml:space="preserve">e bevoegde noodcentrale 112 gebruiken als belangrijkste communicatiecentrum om de bevoegde actoren te alarmeren, naar de plaats van de noodsituatie te sturen, en de </w:t>
            </w:r>
            <w:r w:rsidR="00354BEF">
              <w:rPr>
                <w:color w:val="000000"/>
                <w:sz w:val="20"/>
                <w:szCs w:val="20"/>
              </w:rPr>
              <w:t>nood</w:t>
            </w:r>
            <w:r w:rsidR="004F1EB5" w:rsidRPr="004F1EB5">
              <w:rPr>
                <w:color w:val="000000"/>
                <w:sz w:val="20"/>
                <w:szCs w:val="20"/>
              </w:rPr>
              <w:t>centrale</w:t>
            </w:r>
            <w:r w:rsidR="00354BEF">
              <w:rPr>
                <w:color w:val="000000"/>
                <w:sz w:val="20"/>
                <w:szCs w:val="20"/>
              </w:rPr>
              <w:t xml:space="preserve"> 112</w:t>
            </w:r>
            <w:r w:rsidR="004F1EB5" w:rsidRPr="004F1EB5">
              <w:rPr>
                <w:color w:val="000000"/>
                <w:sz w:val="20"/>
                <w:szCs w:val="20"/>
              </w:rPr>
              <w:t xml:space="preserve"> informeren over hun aankomst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62133F4A" w14:textId="4E850EB9" w:rsidR="00D0179D" w:rsidRDefault="004F1EB5" w:rsidP="004F1EB5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4F1EB5">
              <w:rPr>
                <w:color w:val="000000"/>
                <w:sz w:val="20"/>
                <w:szCs w:val="20"/>
              </w:rPr>
              <w:t>e risico’s die verband houden met de inzet van het personeel bij hulpverleningsoperaties evalueren en passende maatregelen voorstellen voor hun bescherming, desgevallend op basis van aanbevelingen van een specifiek hiertoe aangewezen adviseur</w:t>
            </w:r>
          </w:p>
          <w:p w14:paraId="176FDE24" w14:textId="2BD741E6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Geven van onderrichtingen met betrekking tot de indeling van de interventiezone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39A9D6E8" w14:textId="4FD6EAAC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Verwittigen en </w:t>
            </w:r>
            <w:r w:rsidR="00354BEF">
              <w:rPr>
                <w:color w:val="000000"/>
                <w:sz w:val="20"/>
                <w:szCs w:val="20"/>
              </w:rPr>
              <w:t>adviseren van het beleidsniveau.</w:t>
            </w:r>
          </w:p>
          <w:p w14:paraId="43A6553A" w14:textId="3EA67F88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Nemen van alle maatregelen om de werking van de CP-</w:t>
            </w:r>
            <w:proofErr w:type="spellStart"/>
            <w:r>
              <w:rPr>
                <w:color w:val="000000"/>
                <w:sz w:val="20"/>
                <w:szCs w:val="20"/>
              </w:rPr>
              <w:t>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 organiseren en bepalen welke personen</w:t>
            </w:r>
            <w:r w:rsidR="006962BF">
              <w:rPr>
                <w:color w:val="000000"/>
                <w:sz w:val="20"/>
                <w:szCs w:val="20"/>
              </w:rPr>
              <w:t xml:space="preserve"> er</w:t>
            </w:r>
            <w:r>
              <w:rPr>
                <w:color w:val="000000"/>
                <w:sz w:val="20"/>
                <w:szCs w:val="20"/>
              </w:rPr>
              <w:t xml:space="preserve"> toegang </w:t>
            </w:r>
            <w:r w:rsidR="006962BF">
              <w:rPr>
                <w:color w:val="000000"/>
                <w:sz w:val="20"/>
                <w:szCs w:val="20"/>
              </w:rPr>
              <w:t xml:space="preserve">toe </w:t>
            </w:r>
            <w:r>
              <w:rPr>
                <w:color w:val="000000"/>
                <w:sz w:val="20"/>
                <w:szCs w:val="20"/>
              </w:rPr>
              <w:t>hebben.</w:t>
            </w:r>
          </w:p>
          <w:p w14:paraId="5F206ED4" w14:textId="0FBDF27C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Opstellen van regelmatige </w:t>
            </w:r>
            <w:r w:rsidR="00A54A3C">
              <w:rPr>
                <w:color w:val="000000"/>
                <w:sz w:val="20"/>
                <w:szCs w:val="20"/>
              </w:rPr>
              <w:t>situatierapporten aan de bevoegde overheden en de bevoegde noodcentrale</w:t>
            </w:r>
            <w:r w:rsidR="006962BF">
              <w:rPr>
                <w:color w:val="000000"/>
                <w:sz w:val="20"/>
                <w:szCs w:val="20"/>
              </w:rPr>
              <w:t xml:space="preserve"> 112</w:t>
            </w:r>
            <w:r w:rsidR="00A54A3C">
              <w:rPr>
                <w:color w:val="000000"/>
                <w:sz w:val="20"/>
                <w:szCs w:val="20"/>
              </w:rPr>
              <w:t>, via het nationaal veiligheidsportaal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7A48B645" w14:textId="22F40C40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Waken over de continuïteit van de CP-</w:t>
            </w:r>
            <w:proofErr w:type="spellStart"/>
            <w:r>
              <w:rPr>
                <w:color w:val="000000"/>
                <w:sz w:val="20"/>
                <w:szCs w:val="20"/>
              </w:rPr>
              <w:t>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(aflossing </w:t>
            </w:r>
            <w:r w:rsidR="002B400A">
              <w:rPr>
                <w:color w:val="000000"/>
                <w:sz w:val="20"/>
                <w:szCs w:val="20"/>
              </w:rPr>
              <w:t xml:space="preserve">van </w:t>
            </w:r>
            <w:r>
              <w:rPr>
                <w:color w:val="000000"/>
                <w:sz w:val="20"/>
                <w:szCs w:val="20"/>
              </w:rPr>
              <w:t>leden, overname-overgave, bevoorrading,…)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52856D8D" w14:textId="54B4D9E5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Bewaren van een overzicht van de beschikbare en ingezette middelen v</w:t>
            </w:r>
            <w:r w:rsidR="00354BEF">
              <w:rPr>
                <w:color w:val="000000"/>
                <w:sz w:val="20"/>
                <w:szCs w:val="20"/>
              </w:rPr>
              <w:t>an de verschillende disciplines.</w:t>
            </w:r>
          </w:p>
          <w:p w14:paraId="63C8970F" w14:textId="0FC99844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Kennen van de noden v</w:t>
            </w:r>
            <w:r w:rsidR="00354BEF">
              <w:rPr>
                <w:color w:val="000000"/>
                <w:sz w:val="20"/>
                <w:szCs w:val="20"/>
              </w:rPr>
              <w:t>an de verschillende disciplines.</w:t>
            </w:r>
          </w:p>
          <w:p w14:paraId="2157F650" w14:textId="43E31E94" w:rsidR="00D0179D" w:rsidRDefault="00D0179D" w:rsidP="00F729D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Organiseren van de multidisciplinaire communicatie </w:t>
            </w:r>
            <w:r w:rsidR="00F729DB" w:rsidRPr="00F729DB">
              <w:rPr>
                <w:color w:val="000000"/>
                <w:sz w:val="20"/>
                <w:szCs w:val="20"/>
              </w:rPr>
              <w:t>tussen de directeurs van de betrokken disciplines en de andere leden van de CP-</w:t>
            </w:r>
            <w:proofErr w:type="spellStart"/>
            <w:r w:rsidR="00F729DB" w:rsidRPr="00F729DB">
              <w:rPr>
                <w:color w:val="000000"/>
                <w:sz w:val="20"/>
                <w:szCs w:val="20"/>
              </w:rPr>
              <w:t>Ops</w:t>
            </w:r>
            <w:proofErr w:type="spellEnd"/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46912910" w14:textId="6314BF0F" w:rsidR="00D0179D" w:rsidRDefault="00D0179D" w:rsidP="002B400A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Bepalen van de toegangsmodaliteiten voor derden tot de verschillende zon</w:t>
            </w:r>
            <w:r w:rsidR="00354BEF">
              <w:rPr>
                <w:color w:val="000000"/>
                <w:sz w:val="20"/>
                <w:szCs w:val="20"/>
              </w:rPr>
              <w:t>es.</w:t>
            </w:r>
          </w:p>
          <w:p w14:paraId="23EDAB86" w14:textId="2DF29DEF" w:rsidR="004F1EB5" w:rsidRDefault="004F1EB5" w:rsidP="004F1EB5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4F1EB5">
              <w:rPr>
                <w:color w:val="000000"/>
                <w:sz w:val="20"/>
                <w:szCs w:val="20"/>
              </w:rPr>
              <w:t>en gerechtelijke zone afbakenen in overleg met de gerechtelijke overheid, indien deze laatste hiertoe een aanvraag doet, deze zone mag pas opgeheven worden mits toestemming van de gerechtelijke overheid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49E12806" w14:textId="77777777" w:rsidR="00D0179D" w:rsidRPr="00715C52" w:rsidRDefault="00D0179D" w:rsidP="002B400A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5DC94685" w14:textId="77777777" w:rsidR="00D0179D" w:rsidRPr="00D52561" w:rsidRDefault="00D0179D" w:rsidP="002B400A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ind w:hanging="65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Tijdelijk leidinggevende</w:t>
            </w:r>
          </w:p>
          <w:p w14:paraId="0DA33C14" w14:textId="77777777" w:rsidR="002B400A" w:rsidRDefault="002B400A" w:rsidP="002B400A">
            <w:pPr>
              <w:jc w:val="both"/>
              <w:rPr>
                <w:sz w:val="20"/>
                <w:szCs w:val="20"/>
              </w:rPr>
            </w:pPr>
          </w:p>
          <w:p w14:paraId="4A4483FC" w14:textId="3B20EDE0" w:rsidR="00D0179D" w:rsidRDefault="002B400A" w:rsidP="002B4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DIR-CP-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4A3C">
              <w:rPr>
                <w:sz w:val="20"/>
                <w:szCs w:val="20"/>
              </w:rPr>
              <w:t xml:space="preserve">organiseert het interventieterrein en </w:t>
            </w:r>
            <w:r>
              <w:rPr>
                <w:sz w:val="20"/>
                <w:szCs w:val="20"/>
              </w:rPr>
              <w:t xml:space="preserve">neemt </w:t>
            </w:r>
            <w:r w:rsidR="00D0179D">
              <w:rPr>
                <w:sz w:val="20"/>
                <w:szCs w:val="20"/>
              </w:rPr>
              <w:t>operationele beslissingen op basis van de adviezen van de leden van de CP-</w:t>
            </w:r>
            <w:proofErr w:type="spellStart"/>
            <w:r w:rsidR="00D0179D">
              <w:rPr>
                <w:sz w:val="20"/>
                <w:szCs w:val="20"/>
              </w:rPr>
              <w:t>Ops</w:t>
            </w:r>
            <w:proofErr w:type="spellEnd"/>
            <w:r w:rsidR="00D0179D">
              <w:rPr>
                <w:sz w:val="20"/>
                <w:szCs w:val="20"/>
              </w:rPr>
              <w:t>. De Dir-CP-</w:t>
            </w:r>
            <w:proofErr w:type="spellStart"/>
            <w:r w:rsidR="00D0179D">
              <w:rPr>
                <w:sz w:val="20"/>
                <w:szCs w:val="20"/>
              </w:rPr>
              <w:t>Ops</w:t>
            </w:r>
            <w:proofErr w:type="spellEnd"/>
            <w:r w:rsidR="00D0179D">
              <w:rPr>
                <w:sz w:val="20"/>
                <w:szCs w:val="20"/>
              </w:rPr>
              <w:t xml:space="preserve"> is geen functionele chef van de aanwezige leden maar stelt zich wel op als</w:t>
            </w:r>
            <w:r w:rsidR="006962BF">
              <w:rPr>
                <w:sz w:val="20"/>
                <w:szCs w:val="20"/>
              </w:rPr>
              <w:t xml:space="preserve"> de</w:t>
            </w:r>
            <w:r w:rsidR="00D0179D">
              <w:rPr>
                <w:sz w:val="20"/>
                <w:szCs w:val="20"/>
              </w:rPr>
              <w:t xml:space="preserve"> tijdelijk leidinggevende gedurende de duur </w:t>
            </w:r>
            <w:r w:rsidR="008D2112">
              <w:rPr>
                <w:sz w:val="20"/>
                <w:szCs w:val="20"/>
              </w:rPr>
              <w:t>van zijn aanstelling als Dir-CP-</w:t>
            </w:r>
            <w:proofErr w:type="spellStart"/>
            <w:r w:rsidR="008D2112">
              <w:rPr>
                <w:sz w:val="20"/>
                <w:szCs w:val="20"/>
              </w:rPr>
              <w:t>Ops</w:t>
            </w:r>
            <w:proofErr w:type="spellEnd"/>
            <w:r w:rsidR="008D2112">
              <w:rPr>
                <w:sz w:val="20"/>
                <w:szCs w:val="20"/>
              </w:rPr>
              <w:t xml:space="preserve"> </w:t>
            </w:r>
            <w:r w:rsidR="00D0179D">
              <w:rPr>
                <w:sz w:val="20"/>
                <w:szCs w:val="20"/>
              </w:rPr>
              <w:t>van het incident.</w:t>
            </w:r>
          </w:p>
          <w:p w14:paraId="418847A5" w14:textId="77777777" w:rsidR="00D0179D" w:rsidRPr="00715C52" w:rsidRDefault="00D0179D" w:rsidP="002B400A">
            <w:pPr>
              <w:jc w:val="both"/>
              <w:rPr>
                <w:sz w:val="20"/>
                <w:szCs w:val="20"/>
              </w:rPr>
            </w:pPr>
          </w:p>
          <w:p w14:paraId="24314A67" w14:textId="77777777" w:rsidR="00D0179D" w:rsidRPr="00715C52" w:rsidRDefault="00D0179D" w:rsidP="002B400A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</w:rPr>
            </w:pPr>
            <w:r w:rsidRPr="00715C52">
              <w:rPr>
                <w:sz w:val="20"/>
                <w:szCs w:val="20"/>
                <w:u w:val="single"/>
              </w:rPr>
              <w:t>Mogelijke taken (niet limitatief):</w:t>
            </w:r>
          </w:p>
          <w:p w14:paraId="12001382" w14:textId="05B07DE3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Vaststellen van prioriteiten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27F91DA6" w14:textId="77777777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Nemen van beslissingen op basis van het advies van de aanwezigen</w:t>
            </w:r>
          </w:p>
          <w:p w14:paraId="1AF31E5B" w14:textId="5EDA2416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Leiden van de vergadering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7BE0539C" w14:textId="0D256760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Rekening houden met de vergaderklok en het IBOBBO-proces</w:t>
            </w:r>
            <w:r w:rsidR="007479AF">
              <w:rPr>
                <w:color w:val="000000"/>
                <w:sz w:val="20"/>
                <w:szCs w:val="20"/>
              </w:rPr>
              <w:t xml:space="preserve"> (</w:t>
            </w:r>
            <w:r w:rsidR="007479AF" w:rsidRPr="007479AF">
              <w:rPr>
                <w:color w:val="000000"/>
                <w:sz w:val="20"/>
                <w:szCs w:val="20"/>
              </w:rPr>
              <w:t>Informatiegaring, Beeldvorming, Oordeelvorming, Besluitvorming, Bevelvoering en Opvolging</w:t>
            </w:r>
            <w:r w:rsidR="007479AF">
              <w:rPr>
                <w:color w:val="000000"/>
                <w:sz w:val="20"/>
                <w:szCs w:val="20"/>
              </w:rPr>
              <w:t>)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79529046" w14:textId="77777777" w:rsidR="006962BF" w:rsidRPr="006962BF" w:rsidRDefault="00F729DB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>I</w:t>
            </w:r>
            <w:r w:rsidRPr="00F729DB">
              <w:rPr>
                <w:color w:val="000000"/>
                <w:sz w:val="20"/>
                <w:szCs w:val="20"/>
                <w:lang w:val="nl-BE"/>
              </w:rPr>
              <w:t>ndien de operationele coördinatie gepaard gaat met een beleidscoördinatie, de bevoegde overheden adviseren</w:t>
            </w:r>
            <w:r w:rsidR="00354BEF">
              <w:rPr>
                <w:color w:val="000000"/>
                <w:sz w:val="20"/>
                <w:szCs w:val="20"/>
                <w:lang w:val="nl-BE"/>
              </w:rPr>
              <w:t>.</w:t>
            </w:r>
            <w:r w:rsidRPr="00F729DB">
              <w:rPr>
                <w:color w:val="000000"/>
                <w:sz w:val="20"/>
                <w:szCs w:val="20"/>
                <w:lang w:val="nl-BE"/>
              </w:rPr>
              <w:t xml:space="preserve"> </w:t>
            </w:r>
          </w:p>
          <w:p w14:paraId="29839FEB" w14:textId="6F75CED4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Uitvoeren </w:t>
            </w:r>
            <w:r w:rsidR="00F729DB">
              <w:rPr>
                <w:color w:val="000000"/>
                <w:sz w:val="20"/>
                <w:szCs w:val="20"/>
              </w:rPr>
              <w:t xml:space="preserve">of laten uitvoeren </w:t>
            </w:r>
            <w:r>
              <w:rPr>
                <w:color w:val="000000"/>
                <w:sz w:val="20"/>
                <w:szCs w:val="20"/>
              </w:rPr>
              <w:t>van de beslissingen</w:t>
            </w:r>
            <w:r w:rsidR="002B400A">
              <w:rPr>
                <w:color w:val="000000"/>
                <w:sz w:val="20"/>
                <w:szCs w:val="20"/>
              </w:rPr>
              <w:t xml:space="preserve"> van het coördinatiecomité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399AB078" w14:textId="18B05FD3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Fungeren als het enige multidisciplinaire communicatiekanaal tussen de CP-</w:t>
            </w:r>
            <w:proofErr w:type="spellStart"/>
            <w:r>
              <w:rPr>
                <w:color w:val="000000"/>
                <w:sz w:val="20"/>
                <w:szCs w:val="20"/>
              </w:rPr>
              <w:t>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het coördinatiecomité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7E70CAF9" w14:textId="4158D414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Garanderen dat het multidisciplinaire logboek wordt opgestart en bijgehouden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4827BB6D" w14:textId="07CCE679" w:rsidR="00D0179D" w:rsidRDefault="00D0179D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Organiseren van een multidisciplinaire debriefing</w:t>
            </w:r>
            <w:r w:rsidR="00354BEF">
              <w:rPr>
                <w:color w:val="000000"/>
                <w:sz w:val="20"/>
                <w:szCs w:val="20"/>
              </w:rPr>
              <w:t>.</w:t>
            </w:r>
          </w:p>
          <w:p w14:paraId="7A35858B" w14:textId="5AB27650" w:rsidR="00F729DB" w:rsidRPr="00DD2C64" w:rsidRDefault="00F729DB" w:rsidP="002B400A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  <w:tab w:val="num" w:pos="90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nl-BE"/>
              </w:rPr>
              <w:t>H</w:t>
            </w:r>
            <w:r w:rsidRPr="00DD2103">
              <w:rPr>
                <w:sz w:val="20"/>
                <w:szCs w:val="20"/>
                <w:lang w:val="nl-BE"/>
              </w:rPr>
              <w:t xml:space="preserve">et interventieterrein organiseren en, indien nodig, de zonering installeren en opheffen, en er een goede visuele </w:t>
            </w:r>
            <w:r>
              <w:rPr>
                <w:sz w:val="20"/>
                <w:szCs w:val="20"/>
                <w:lang w:val="nl-BE"/>
              </w:rPr>
              <w:t>weergave</w:t>
            </w:r>
            <w:r w:rsidRPr="00DD2103">
              <w:rPr>
                <w:sz w:val="20"/>
                <w:szCs w:val="20"/>
                <w:lang w:val="nl-BE"/>
              </w:rPr>
              <w:t xml:space="preserve"> van verzekeren middels een cartografie, via het nationaal veiligheidsportaal</w:t>
            </w:r>
            <w:r w:rsidR="00354BEF">
              <w:rPr>
                <w:sz w:val="20"/>
                <w:szCs w:val="20"/>
                <w:lang w:val="nl-BE"/>
              </w:rPr>
              <w:t>.</w:t>
            </w:r>
          </w:p>
          <w:p w14:paraId="374E1FF0" w14:textId="77777777" w:rsidR="00D0179D" w:rsidRPr="00715C52" w:rsidRDefault="00D0179D" w:rsidP="002B400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B2BFDC6" w14:textId="77777777" w:rsidR="00D0179D" w:rsidRPr="00D52561" w:rsidRDefault="00D0179D" w:rsidP="002B400A">
            <w:pPr>
              <w:jc w:val="both"/>
              <w:rPr>
                <w:sz w:val="20"/>
                <w:szCs w:val="20"/>
                <w:u w:val="single"/>
              </w:rPr>
            </w:pPr>
          </w:p>
          <w:p w14:paraId="71B3689F" w14:textId="77777777" w:rsidR="00D0179D" w:rsidRPr="00715C52" w:rsidRDefault="00D0179D" w:rsidP="002B400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AC197D9" w14:textId="77777777" w:rsidR="00D0179D" w:rsidRPr="0095434D" w:rsidRDefault="00D0179D" w:rsidP="002B400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179D" w:rsidRPr="009A0481" w14:paraId="313A5925" w14:textId="77777777" w:rsidTr="00815700">
        <w:tc>
          <w:tcPr>
            <w:tcW w:w="2206" w:type="dxa"/>
          </w:tcPr>
          <w:p w14:paraId="37259CD2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  <w:p w14:paraId="38FE0446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  <w:r w:rsidRPr="009A0481">
              <w:rPr>
                <w:b/>
                <w:color w:val="0000FF"/>
                <w:sz w:val="20"/>
                <w:szCs w:val="20"/>
              </w:rPr>
              <w:t>Plaats in de organisatie</w:t>
            </w:r>
            <w:r>
              <w:rPr>
                <w:b/>
                <w:color w:val="0000FF"/>
                <w:sz w:val="20"/>
                <w:szCs w:val="20"/>
              </w:rPr>
              <w:t xml:space="preserve"> ad hoc</w:t>
            </w:r>
          </w:p>
        </w:tc>
        <w:tc>
          <w:tcPr>
            <w:tcW w:w="7082" w:type="dxa"/>
            <w:gridSpan w:val="4"/>
          </w:tcPr>
          <w:p w14:paraId="03F6BF0F" w14:textId="77777777" w:rsidR="00D0179D" w:rsidRDefault="00D0179D" w:rsidP="00442B6E">
            <w:pPr>
              <w:rPr>
                <w:sz w:val="20"/>
                <w:szCs w:val="20"/>
              </w:rPr>
            </w:pPr>
          </w:p>
          <w:p w14:paraId="2C0C5CD2" w14:textId="77777777" w:rsidR="00D0179D" w:rsidRDefault="00D0179D" w:rsidP="00442B6E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De functie krijgt leiding van:</w:t>
            </w:r>
          </w:p>
          <w:p w14:paraId="7151AADE" w14:textId="77777777" w:rsidR="00D0179D" w:rsidRDefault="00D0179D" w:rsidP="00442B6E">
            <w:pPr>
              <w:outlineLvl w:val="0"/>
              <w:rPr>
                <w:b/>
                <w:sz w:val="20"/>
                <w:szCs w:val="20"/>
              </w:rPr>
            </w:pPr>
            <w:r w:rsidRPr="00B40646">
              <w:rPr>
                <w:b/>
                <w:sz w:val="20"/>
                <w:szCs w:val="20"/>
              </w:rPr>
              <w:t>/</w:t>
            </w:r>
          </w:p>
          <w:p w14:paraId="65150AE5" w14:textId="77777777" w:rsidR="00D0179D" w:rsidRPr="00B40646" w:rsidRDefault="00D0179D" w:rsidP="00442B6E">
            <w:pPr>
              <w:outlineLvl w:val="0"/>
              <w:rPr>
                <w:b/>
                <w:sz w:val="20"/>
                <w:szCs w:val="20"/>
              </w:rPr>
            </w:pPr>
          </w:p>
          <w:p w14:paraId="734FE3F5" w14:textId="77777777" w:rsidR="00D0179D" w:rsidRPr="00D52561" w:rsidRDefault="00D0179D" w:rsidP="00442B6E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De functie geeft leiding aan:</w:t>
            </w:r>
          </w:p>
          <w:p w14:paraId="5AE91601" w14:textId="77777777" w:rsidR="00D0179D" w:rsidRDefault="00D0179D" w:rsidP="00442B6E">
            <w:pPr>
              <w:outlineLvl w:val="0"/>
              <w:rPr>
                <w:sz w:val="20"/>
                <w:szCs w:val="20"/>
              </w:rPr>
            </w:pPr>
          </w:p>
          <w:p w14:paraId="3AFE02B3" w14:textId="77777777" w:rsidR="00D0179D" w:rsidRPr="00897066" w:rsidRDefault="00D0179D" w:rsidP="00442B6E">
            <w:pPr>
              <w:outlineLvl w:val="0"/>
              <w:rPr>
                <w:sz w:val="20"/>
                <w:szCs w:val="20"/>
              </w:rPr>
            </w:pPr>
            <w:r w:rsidRPr="0089706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Dir-CP-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  <w:r>
              <w:rPr>
                <w:sz w:val="20"/>
                <w:szCs w:val="20"/>
              </w:rPr>
              <w:t xml:space="preserve"> geeft tijdelijk leiding aan de leden van de 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  <w:r w:rsidRPr="00897066">
              <w:rPr>
                <w:sz w:val="20"/>
                <w:szCs w:val="20"/>
              </w:rPr>
              <w:t>.</w:t>
            </w:r>
          </w:p>
          <w:p w14:paraId="3DBA5ACE" w14:textId="77777777" w:rsidR="00D0179D" w:rsidRPr="009A0481" w:rsidRDefault="00D0179D" w:rsidP="00442B6E">
            <w:pPr>
              <w:rPr>
                <w:sz w:val="20"/>
                <w:szCs w:val="20"/>
              </w:rPr>
            </w:pPr>
          </w:p>
        </w:tc>
      </w:tr>
      <w:tr w:rsidR="00D0179D" w:rsidRPr="009A0481" w14:paraId="270C2498" w14:textId="77777777" w:rsidTr="00815700">
        <w:tc>
          <w:tcPr>
            <w:tcW w:w="2206" w:type="dxa"/>
            <w:vMerge w:val="restart"/>
          </w:tcPr>
          <w:p w14:paraId="267A9EC9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Netwerkelementen</w:t>
            </w:r>
          </w:p>
        </w:tc>
        <w:tc>
          <w:tcPr>
            <w:tcW w:w="7082" w:type="dxa"/>
            <w:gridSpan w:val="4"/>
          </w:tcPr>
          <w:p w14:paraId="492A3D4A" w14:textId="77777777" w:rsidR="00D0179D" w:rsidRPr="00D52561" w:rsidRDefault="00D0179D" w:rsidP="00442B6E">
            <w:pPr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De functie krijgt info van</w:t>
            </w:r>
          </w:p>
          <w:p w14:paraId="747E2987" w14:textId="77777777" w:rsidR="00D0179D" w:rsidRPr="009A0481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42E21346" w14:textId="77777777" w:rsidTr="00815700">
        <w:tc>
          <w:tcPr>
            <w:tcW w:w="2206" w:type="dxa"/>
            <w:vMerge/>
          </w:tcPr>
          <w:p w14:paraId="17E49B23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38203EDE" w14:textId="1C76AC53" w:rsidR="00D0179D" w:rsidRPr="00B13E40" w:rsidRDefault="00D0179D" w:rsidP="00442B6E">
            <w:pPr>
              <w:rPr>
                <w:sz w:val="20"/>
                <w:szCs w:val="20"/>
              </w:rPr>
            </w:pPr>
            <w:r w:rsidRPr="00B13E40">
              <w:rPr>
                <w:sz w:val="20"/>
                <w:szCs w:val="20"/>
              </w:rPr>
              <w:t>het beleidsniveau (burgemeester/gouverneur</w:t>
            </w:r>
            <w:r w:rsidR="006962BF">
              <w:rPr>
                <w:sz w:val="20"/>
                <w:szCs w:val="20"/>
              </w:rPr>
              <w:t>/minister</w:t>
            </w:r>
            <w:r w:rsidRPr="00B13E40">
              <w:rPr>
                <w:sz w:val="20"/>
                <w:szCs w:val="20"/>
              </w:rPr>
              <w:t>)</w:t>
            </w:r>
          </w:p>
        </w:tc>
        <w:tc>
          <w:tcPr>
            <w:tcW w:w="2223" w:type="dxa"/>
          </w:tcPr>
          <w:p w14:paraId="4818AA7B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Mondelinge en schriftelijke vragen, adviezen, beslissingen,..</w:t>
            </w:r>
          </w:p>
        </w:tc>
        <w:tc>
          <w:tcPr>
            <w:tcW w:w="2027" w:type="dxa"/>
          </w:tcPr>
          <w:p w14:paraId="755116BC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1DC1FFC0" w14:textId="77777777" w:rsidTr="00815700">
        <w:tc>
          <w:tcPr>
            <w:tcW w:w="2206" w:type="dxa"/>
            <w:vMerge/>
          </w:tcPr>
          <w:p w14:paraId="760A2A56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F071123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leden van de 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2223" w:type="dxa"/>
          </w:tcPr>
          <w:p w14:paraId="4D295B22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Mondelinge en schriftelijke vragen, adviezen,…</w:t>
            </w:r>
          </w:p>
        </w:tc>
        <w:tc>
          <w:tcPr>
            <w:tcW w:w="2027" w:type="dxa"/>
          </w:tcPr>
          <w:p w14:paraId="469A0516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5C83DDEF" w14:textId="77777777" w:rsidTr="00815700">
        <w:tc>
          <w:tcPr>
            <w:tcW w:w="2206" w:type="dxa"/>
            <w:vMerge/>
          </w:tcPr>
          <w:p w14:paraId="367D2BA9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B00D419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69D5BDE3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7E2A294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33E8D716" w14:textId="77777777" w:rsidTr="00815700">
        <w:tc>
          <w:tcPr>
            <w:tcW w:w="2206" w:type="dxa"/>
            <w:vMerge/>
          </w:tcPr>
          <w:p w14:paraId="49E5EF51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151AD9EF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422761B1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BDBA228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D0179D" w14:paraId="379AB245" w14:textId="77777777" w:rsidTr="00815700">
        <w:tc>
          <w:tcPr>
            <w:tcW w:w="2206" w:type="dxa"/>
            <w:vMerge/>
          </w:tcPr>
          <w:p w14:paraId="069038E5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65E34AC2" w14:textId="77777777" w:rsidR="00D0179D" w:rsidRPr="00D52561" w:rsidRDefault="00D0179D" w:rsidP="00442B6E">
            <w:pPr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De functie geeft info aan</w:t>
            </w:r>
          </w:p>
          <w:p w14:paraId="5BB7DCB3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040D1BF7" w14:textId="77777777" w:rsidTr="00815700">
        <w:tc>
          <w:tcPr>
            <w:tcW w:w="2206" w:type="dxa"/>
            <w:vMerge/>
          </w:tcPr>
          <w:p w14:paraId="44B5C27B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BF2B21E" w14:textId="44B81EA6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beleidsniveau (burgemeester/gouverneur</w:t>
            </w:r>
            <w:r w:rsidR="006962BF">
              <w:rPr>
                <w:sz w:val="20"/>
                <w:szCs w:val="20"/>
              </w:rPr>
              <w:t>/minister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3" w:type="dxa"/>
          </w:tcPr>
          <w:p w14:paraId="78A7DCAC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Mondelinge en schriftelijke vragen, adviezen,…</w:t>
            </w:r>
          </w:p>
        </w:tc>
        <w:tc>
          <w:tcPr>
            <w:tcW w:w="2027" w:type="dxa"/>
          </w:tcPr>
          <w:p w14:paraId="5AC9A007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59C21AC9" w14:textId="77777777" w:rsidTr="00815700">
        <w:tc>
          <w:tcPr>
            <w:tcW w:w="2206" w:type="dxa"/>
            <w:vMerge/>
          </w:tcPr>
          <w:p w14:paraId="05F68A08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5E1A0A54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leden van de 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2223" w:type="dxa"/>
          </w:tcPr>
          <w:p w14:paraId="280B25EA" w14:textId="77777777" w:rsidR="00D0179D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Mondelinge en schriftelijke vragen, adviezen,…</w:t>
            </w:r>
          </w:p>
        </w:tc>
        <w:tc>
          <w:tcPr>
            <w:tcW w:w="2027" w:type="dxa"/>
          </w:tcPr>
          <w:p w14:paraId="4EBA3CFA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54FE10F3" w14:textId="77777777" w:rsidTr="00815700">
        <w:tc>
          <w:tcPr>
            <w:tcW w:w="2206" w:type="dxa"/>
            <w:vMerge/>
          </w:tcPr>
          <w:p w14:paraId="068A744E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89C7B4D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7632FDD4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1D40AB73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6962BF" w14:paraId="7E964BCF" w14:textId="77777777" w:rsidTr="00815700">
        <w:tc>
          <w:tcPr>
            <w:tcW w:w="2206" w:type="dxa"/>
            <w:vMerge/>
          </w:tcPr>
          <w:p w14:paraId="31DD20A1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B399EFA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3C94922B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AB8620D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D0179D" w:rsidRPr="00DD4F2A" w14:paraId="6BFEFDEE" w14:textId="77777777" w:rsidTr="00815700">
        <w:tc>
          <w:tcPr>
            <w:tcW w:w="2206" w:type="dxa"/>
          </w:tcPr>
          <w:p w14:paraId="66E74227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  <w:p w14:paraId="50E1B90B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Autonomie</w:t>
            </w:r>
          </w:p>
          <w:p w14:paraId="7E84C3E4" w14:textId="77777777" w:rsidR="00D0179D" w:rsidRPr="009A0481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465C0D6B" w14:textId="77777777" w:rsidR="00D0179D" w:rsidRPr="00DD4F2A" w:rsidRDefault="00D0179D" w:rsidP="00442B6E">
            <w:pPr>
              <w:rPr>
                <w:sz w:val="20"/>
                <w:szCs w:val="20"/>
              </w:rPr>
            </w:pPr>
          </w:p>
          <w:p w14:paraId="547BAAFF" w14:textId="77777777" w:rsidR="00D0179D" w:rsidRPr="00DD4F2A" w:rsidRDefault="00D0179D" w:rsidP="00442B6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D4F2A">
              <w:rPr>
                <w:b/>
                <w:bCs/>
                <w:sz w:val="20"/>
                <w:szCs w:val="20"/>
              </w:rPr>
              <w:t>De functie kan autonoom beslissen over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75BCC69" w14:textId="0B71CA69" w:rsidR="00D0179D" w:rsidRPr="00824EDF" w:rsidRDefault="00D0179D" w:rsidP="00D0179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24EDF">
              <w:rPr>
                <w:sz w:val="20"/>
                <w:szCs w:val="20"/>
              </w:rPr>
              <w:t>e concrete uitvoering van de hem opgedragen taken</w:t>
            </w:r>
            <w:r w:rsidR="00354BEF">
              <w:rPr>
                <w:sz w:val="20"/>
                <w:szCs w:val="20"/>
              </w:rPr>
              <w:t>.</w:t>
            </w:r>
          </w:p>
          <w:p w14:paraId="07BD8E79" w14:textId="05AD264F" w:rsidR="00D0179D" w:rsidRPr="00824EDF" w:rsidRDefault="00D0179D" w:rsidP="00D0179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24EDF">
              <w:rPr>
                <w:sz w:val="20"/>
                <w:szCs w:val="20"/>
              </w:rPr>
              <w:t>e concrete operationele</w:t>
            </w:r>
            <w:r>
              <w:rPr>
                <w:sz w:val="20"/>
                <w:szCs w:val="20"/>
              </w:rPr>
              <w:t xml:space="preserve"> multidisciplinaire</w:t>
            </w:r>
            <w:r w:rsidR="00354BEF">
              <w:rPr>
                <w:sz w:val="20"/>
                <w:szCs w:val="20"/>
              </w:rPr>
              <w:t xml:space="preserve"> coördinatie.</w:t>
            </w:r>
          </w:p>
          <w:p w14:paraId="0E0F5F86" w14:textId="5EA36330" w:rsidR="00D0179D" w:rsidRDefault="00D0179D" w:rsidP="00D0179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werking van de 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  <w:r w:rsidR="00354BEF">
              <w:rPr>
                <w:sz w:val="20"/>
                <w:szCs w:val="20"/>
              </w:rPr>
              <w:t>.</w:t>
            </w:r>
          </w:p>
          <w:p w14:paraId="7ED0478E" w14:textId="26388EEF" w:rsidR="00D0179D" w:rsidRPr="00824EDF" w:rsidRDefault="00D0179D" w:rsidP="00D0179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6962BF">
              <w:rPr>
                <w:sz w:val="20"/>
                <w:szCs w:val="20"/>
              </w:rPr>
              <w:t>personen die kunnen aanwezig zijn</w:t>
            </w:r>
            <w:r>
              <w:rPr>
                <w:sz w:val="20"/>
                <w:szCs w:val="20"/>
              </w:rPr>
              <w:t xml:space="preserve"> in de CP-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  <w:r w:rsidR="00354BEF">
              <w:rPr>
                <w:sz w:val="20"/>
                <w:szCs w:val="20"/>
              </w:rPr>
              <w:t>.</w:t>
            </w:r>
          </w:p>
          <w:p w14:paraId="1756156A" w14:textId="77777777" w:rsidR="00D0179D" w:rsidRPr="00824EDF" w:rsidRDefault="00D0179D" w:rsidP="00442B6E">
            <w:pPr>
              <w:rPr>
                <w:sz w:val="20"/>
                <w:szCs w:val="20"/>
              </w:rPr>
            </w:pPr>
          </w:p>
          <w:p w14:paraId="5C803CAD" w14:textId="77777777" w:rsidR="00D0179D" w:rsidRPr="00824EDF" w:rsidRDefault="00D0179D" w:rsidP="00442B6E">
            <w:pPr>
              <w:rPr>
                <w:b/>
                <w:bCs/>
                <w:sz w:val="20"/>
                <w:szCs w:val="20"/>
              </w:rPr>
            </w:pPr>
            <w:r w:rsidRPr="00824EDF">
              <w:rPr>
                <w:b/>
                <w:bCs/>
                <w:sz w:val="20"/>
                <w:szCs w:val="20"/>
              </w:rPr>
              <w:t>De functie moet autorisatie vragen voor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EA4A964" w14:textId="7A2A2A48" w:rsidR="00D0179D" w:rsidRPr="00E5508C" w:rsidRDefault="00D0179D" w:rsidP="00D0179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beleidsbeslissingen die genomen worden </w:t>
            </w:r>
            <w:r w:rsidR="00357E19">
              <w:rPr>
                <w:sz w:val="20"/>
                <w:szCs w:val="20"/>
              </w:rPr>
              <w:t>in afwachting van de installatie van het coördinati</w:t>
            </w:r>
            <w:r w:rsidR="00354BEF">
              <w:rPr>
                <w:sz w:val="20"/>
                <w:szCs w:val="20"/>
              </w:rPr>
              <w:t>e</w:t>
            </w:r>
            <w:r w:rsidR="00357E19">
              <w:rPr>
                <w:sz w:val="20"/>
                <w:szCs w:val="20"/>
              </w:rPr>
              <w:t>c</w:t>
            </w:r>
            <w:r w:rsidR="00357E19" w:rsidRPr="00E5508C">
              <w:rPr>
                <w:sz w:val="20"/>
                <w:szCs w:val="20"/>
              </w:rPr>
              <w:t>omité en dit zodra het coördinatiecomité actief is</w:t>
            </w:r>
            <w:r w:rsidR="00354BEF" w:rsidRPr="00E5508C">
              <w:rPr>
                <w:sz w:val="20"/>
                <w:szCs w:val="20"/>
              </w:rPr>
              <w:t>.</w:t>
            </w:r>
          </w:p>
          <w:p w14:paraId="4E03346C" w14:textId="77777777" w:rsidR="00D0179D" w:rsidRPr="00DD4F2A" w:rsidRDefault="00D0179D" w:rsidP="00442B6E">
            <w:pPr>
              <w:ind w:left="900"/>
              <w:rPr>
                <w:sz w:val="20"/>
                <w:szCs w:val="20"/>
              </w:rPr>
            </w:pPr>
          </w:p>
        </w:tc>
      </w:tr>
      <w:tr w:rsidR="00D0179D" w:rsidRPr="00D52561" w14:paraId="298E98C0" w14:textId="77777777" w:rsidTr="00815700">
        <w:tc>
          <w:tcPr>
            <w:tcW w:w="2206" w:type="dxa"/>
            <w:vMerge w:val="restart"/>
          </w:tcPr>
          <w:p w14:paraId="3060867A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  <w:p w14:paraId="0213C945" w14:textId="1F2EED95" w:rsidR="00D0179D" w:rsidRDefault="006962BF" w:rsidP="00442B6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Arbeidsomstandigheden </w:t>
            </w:r>
            <w:r w:rsidR="00D0179D">
              <w:rPr>
                <w:b/>
                <w:color w:val="0000FF"/>
                <w:sz w:val="20"/>
                <w:szCs w:val="20"/>
              </w:rPr>
              <w:t>Arbeidsvoorwaarden</w:t>
            </w:r>
          </w:p>
        </w:tc>
        <w:tc>
          <w:tcPr>
            <w:tcW w:w="7082" w:type="dxa"/>
            <w:gridSpan w:val="4"/>
          </w:tcPr>
          <w:p w14:paraId="4C1D1277" w14:textId="77777777" w:rsidR="00D0179D" w:rsidRPr="00DD4F2A" w:rsidRDefault="00D0179D" w:rsidP="00442B6E">
            <w:pPr>
              <w:rPr>
                <w:sz w:val="20"/>
                <w:szCs w:val="20"/>
              </w:rPr>
            </w:pPr>
          </w:p>
          <w:p w14:paraId="125A3421" w14:textId="77777777" w:rsidR="00D0179D" w:rsidRPr="00D52561" w:rsidRDefault="00D0179D" w:rsidP="00442B6E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Technische expertise</w:t>
            </w:r>
          </w:p>
        </w:tc>
      </w:tr>
      <w:tr w:rsidR="00D0179D" w:rsidRPr="00802F7E" w14:paraId="5AA3ED16" w14:textId="77777777" w:rsidTr="00815700">
        <w:tc>
          <w:tcPr>
            <w:tcW w:w="2206" w:type="dxa"/>
            <w:vMerge/>
          </w:tcPr>
          <w:p w14:paraId="5E86D185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520B800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 w:rsidRPr="00824EDF">
              <w:rPr>
                <w:sz w:val="20"/>
                <w:szCs w:val="20"/>
              </w:rPr>
              <w:t>Diploma</w:t>
            </w:r>
          </w:p>
        </w:tc>
        <w:tc>
          <w:tcPr>
            <w:tcW w:w="4934" w:type="dxa"/>
            <w:gridSpan w:val="3"/>
          </w:tcPr>
          <w:p w14:paraId="033FCC4B" w14:textId="5FCB2E26" w:rsidR="00D0179D" w:rsidRDefault="004D6945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Behalen en behouden</w:t>
            </w:r>
            <w:r w:rsidR="00D0179D">
              <w:rPr>
                <w:sz w:val="20"/>
                <w:szCs w:val="20"/>
              </w:rPr>
              <w:t xml:space="preserve"> van het bekwaamheidsattest van Dir-CP-</w:t>
            </w:r>
            <w:proofErr w:type="spellStart"/>
            <w:r w:rsidR="00D0179D">
              <w:rPr>
                <w:sz w:val="20"/>
                <w:szCs w:val="20"/>
              </w:rPr>
              <w:t>Ops</w:t>
            </w:r>
            <w:proofErr w:type="spellEnd"/>
            <w:r w:rsidR="00D0179D">
              <w:rPr>
                <w:sz w:val="20"/>
                <w:szCs w:val="20"/>
              </w:rPr>
              <w:t xml:space="preserve"> </w:t>
            </w:r>
          </w:p>
          <w:p w14:paraId="418D0920" w14:textId="77777777" w:rsidR="00D0179D" w:rsidRPr="00802F7E" w:rsidRDefault="00D0179D" w:rsidP="00442B6E">
            <w:pPr>
              <w:rPr>
                <w:sz w:val="20"/>
                <w:szCs w:val="20"/>
                <w:highlight w:val="yellow"/>
              </w:rPr>
            </w:pPr>
          </w:p>
        </w:tc>
      </w:tr>
      <w:tr w:rsidR="00D0179D" w:rsidRPr="00802F7E" w14:paraId="01D46BBC" w14:textId="77777777" w:rsidTr="00815700">
        <w:tc>
          <w:tcPr>
            <w:tcW w:w="2206" w:type="dxa"/>
            <w:vMerge/>
          </w:tcPr>
          <w:p w14:paraId="5DCB5B61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D7D71C7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 w:rsidRPr="00824EDF">
              <w:rPr>
                <w:sz w:val="20"/>
                <w:szCs w:val="20"/>
              </w:rPr>
              <w:t>Kennis</w:t>
            </w:r>
          </w:p>
        </w:tc>
        <w:tc>
          <w:tcPr>
            <w:tcW w:w="4934" w:type="dxa"/>
            <w:gridSpan w:val="3"/>
          </w:tcPr>
          <w:p w14:paraId="3082BB75" w14:textId="77777777" w:rsidR="00D0179D" w:rsidRPr="00801AC7" w:rsidRDefault="00D0179D" w:rsidP="00442B6E">
            <w:pPr>
              <w:rPr>
                <w:sz w:val="20"/>
                <w:szCs w:val="20"/>
                <w:lang w:val="en-US"/>
              </w:rPr>
            </w:pPr>
            <w:proofErr w:type="spellStart"/>
            <w:r w:rsidRPr="00801AC7">
              <w:rPr>
                <w:sz w:val="20"/>
                <w:szCs w:val="20"/>
                <w:lang w:val="en-US"/>
              </w:rPr>
              <w:t>Functie</w:t>
            </w:r>
            <w:proofErr w:type="spellEnd"/>
            <w:r w:rsidRPr="00801AC7">
              <w:rPr>
                <w:sz w:val="20"/>
                <w:szCs w:val="20"/>
                <w:lang w:val="en-US"/>
              </w:rPr>
              <w:t xml:space="preserve"> Dir-CP-Ops </w:t>
            </w:r>
          </w:p>
          <w:p w14:paraId="225E3B04" w14:textId="5DA40E0F" w:rsidR="00D0179D" w:rsidRPr="00801AC7" w:rsidRDefault="00D0179D" w:rsidP="00442B6E">
            <w:pPr>
              <w:rPr>
                <w:sz w:val="20"/>
                <w:szCs w:val="20"/>
                <w:lang w:val="en-US"/>
              </w:rPr>
            </w:pPr>
            <w:r w:rsidRPr="00801AC7">
              <w:rPr>
                <w:sz w:val="20"/>
                <w:szCs w:val="20"/>
                <w:lang w:val="en-US"/>
              </w:rPr>
              <w:t>Team</w:t>
            </w:r>
            <w:r w:rsidR="00354BEF">
              <w:rPr>
                <w:sz w:val="20"/>
                <w:szCs w:val="20"/>
                <w:lang w:val="en-US"/>
              </w:rPr>
              <w:t>-</w:t>
            </w:r>
            <w:r w:rsidRPr="00801AC7">
              <w:rPr>
                <w:sz w:val="20"/>
                <w:szCs w:val="20"/>
                <w:lang w:val="en-US"/>
              </w:rPr>
              <w:t>leadership</w:t>
            </w:r>
          </w:p>
          <w:p w14:paraId="140AD52F" w14:textId="6C008906" w:rsidR="00D0179D" w:rsidRPr="00802F7E" w:rsidRDefault="00D0179D" w:rsidP="00442B6E">
            <w:pPr>
              <w:rPr>
                <w:sz w:val="20"/>
                <w:szCs w:val="20"/>
                <w:lang w:val="nl-BE"/>
              </w:rPr>
            </w:pPr>
            <w:r w:rsidRPr="00802F7E">
              <w:rPr>
                <w:sz w:val="20"/>
                <w:szCs w:val="20"/>
                <w:lang w:val="nl-BE"/>
              </w:rPr>
              <w:t xml:space="preserve">De functie van </w:t>
            </w:r>
            <w:r>
              <w:rPr>
                <w:sz w:val="20"/>
                <w:szCs w:val="20"/>
                <w:lang w:val="nl-BE"/>
              </w:rPr>
              <w:t>verantwoordelijke van de discipline</w:t>
            </w:r>
            <w:r w:rsidR="008D2112">
              <w:rPr>
                <w:sz w:val="20"/>
                <w:szCs w:val="20"/>
                <w:lang w:val="nl-BE"/>
              </w:rPr>
              <w:t xml:space="preserve"> (Dir</w:t>
            </w:r>
            <w:r w:rsidR="00DD12C1">
              <w:rPr>
                <w:sz w:val="20"/>
                <w:szCs w:val="20"/>
                <w:lang w:val="nl-BE"/>
              </w:rPr>
              <w:t>-D1-</w:t>
            </w:r>
            <w:r w:rsidR="00E1134F">
              <w:rPr>
                <w:sz w:val="20"/>
                <w:szCs w:val="20"/>
                <w:lang w:val="nl-BE"/>
              </w:rPr>
              <w:t>4</w:t>
            </w:r>
            <w:r w:rsidR="00DD12C1">
              <w:rPr>
                <w:sz w:val="20"/>
                <w:szCs w:val="20"/>
                <w:lang w:val="nl-BE"/>
              </w:rPr>
              <w:t xml:space="preserve">) </w:t>
            </w:r>
            <w:r>
              <w:rPr>
                <w:sz w:val="20"/>
                <w:szCs w:val="20"/>
                <w:lang w:val="nl-BE"/>
              </w:rPr>
              <w:t>in het coördinatiecomité</w:t>
            </w:r>
          </w:p>
          <w:p w14:paraId="7EA11F8C" w14:textId="372103D4" w:rsidR="00D0179D" w:rsidRDefault="00D0179D" w:rsidP="00442B6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Feedback </w:t>
            </w:r>
            <w:r w:rsidR="006962BF">
              <w:rPr>
                <w:sz w:val="20"/>
                <w:szCs w:val="20"/>
                <w:lang w:val="nl-BE"/>
              </w:rPr>
              <w:t xml:space="preserve">geven </w:t>
            </w:r>
            <w:r>
              <w:rPr>
                <w:sz w:val="20"/>
                <w:szCs w:val="20"/>
                <w:lang w:val="nl-BE"/>
              </w:rPr>
              <w:t xml:space="preserve">en </w:t>
            </w:r>
            <w:r w:rsidR="006962BF">
              <w:rPr>
                <w:sz w:val="20"/>
                <w:szCs w:val="20"/>
                <w:lang w:val="nl-BE"/>
              </w:rPr>
              <w:t>lessen trekken</w:t>
            </w:r>
          </w:p>
          <w:p w14:paraId="064435E6" w14:textId="77777777" w:rsidR="00D0179D" w:rsidRPr="00802F7E" w:rsidRDefault="00D0179D" w:rsidP="00442B6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Host </w:t>
            </w:r>
            <w:proofErr w:type="spellStart"/>
            <w:r>
              <w:rPr>
                <w:sz w:val="20"/>
                <w:szCs w:val="20"/>
                <w:lang w:val="nl-BE"/>
              </w:rPr>
              <w:t>nation</w:t>
            </w:r>
            <w:proofErr w:type="spellEnd"/>
            <w:r>
              <w:rPr>
                <w:sz w:val="20"/>
                <w:szCs w:val="20"/>
                <w:lang w:val="nl-BE"/>
              </w:rPr>
              <w:t xml:space="preserve"> support</w:t>
            </w:r>
          </w:p>
        </w:tc>
      </w:tr>
      <w:tr w:rsidR="00D0179D" w14:paraId="62AEB9B4" w14:textId="77777777" w:rsidTr="00815700">
        <w:tc>
          <w:tcPr>
            <w:tcW w:w="2206" w:type="dxa"/>
            <w:vMerge/>
          </w:tcPr>
          <w:p w14:paraId="4D35C118" w14:textId="77777777" w:rsidR="00D0179D" w:rsidRPr="00802F7E" w:rsidRDefault="00D0179D" w:rsidP="00442B6E">
            <w:pPr>
              <w:rPr>
                <w:b/>
                <w:color w:val="0000FF"/>
                <w:sz w:val="20"/>
                <w:szCs w:val="20"/>
                <w:lang w:val="nl-BE"/>
              </w:rPr>
            </w:pPr>
          </w:p>
        </w:tc>
        <w:tc>
          <w:tcPr>
            <w:tcW w:w="2148" w:type="dxa"/>
          </w:tcPr>
          <w:p w14:paraId="223D9F99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 w:rsidRPr="00370EF1">
              <w:rPr>
                <w:sz w:val="20"/>
                <w:szCs w:val="20"/>
              </w:rPr>
              <w:t>Competenties</w:t>
            </w:r>
          </w:p>
        </w:tc>
        <w:tc>
          <w:tcPr>
            <w:tcW w:w="4934" w:type="dxa"/>
            <w:gridSpan w:val="3"/>
          </w:tcPr>
          <w:p w14:paraId="31206DF3" w14:textId="47996B93" w:rsidR="00D0179D" w:rsidRDefault="00354BEF" w:rsidP="00442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Multidisciplinair</w:t>
            </w:r>
            <w:r w:rsidR="008D2112">
              <w:rPr>
                <w:color w:val="000000"/>
                <w:sz w:val="20"/>
                <w:szCs w:val="20"/>
              </w:rPr>
              <w:t xml:space="preserve"> </w:t>
            </w:r>
            <w:r w:rsidR="00D0179D">
              <w:rPr>
                <w:color w:val="000000"/>
                <w:sz w:val="20"/>
                <w:szCs w:val="20"/>
              </w:rPr>
              <w:t>samenwerken</w:t>
            </w:r>
          </w:p>
          <w:p w14:paraId="4426D40D" w14:textId="67D120DD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0179D">
              <w:rPr>
                <w:sz w:val="20"/>
                <w:szCs w:val="20"/>
              </w:rPr>
              <w:t>erantwoordelijkheid nemen</w:t>
            </w:r>
          </w:p>
          <w:p w14:paraId="20A1C939" w14:textId="5CE6AF33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0179D">
              <w:rPr>
                <w:sz w:val="20"/>
                <w:szCs w:val="20"/>
              </w:rPr>
              <w:t>ommuniceren</w:t>
            </w:r>
          </w:p>
          <w:p w14:paraId="79B142A8" w14:textId="18DC2D78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0179D">
              <w:rPr>
                <w:sz w:val="20"/>
                <w:szCs w:val="20"/>
              </w:rPr>
              <w:t>nalyseren</w:t>
            </w:r>
          </w:p>
          <w:p w14:paraId="205714A7" w14:textId="51C90453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0179D">
              <w:rPr>
                <w:sz w:val="20"/>
                <w:szCs w:val="20"/>
              </w:rPr>
              <w:t>ordeelsvorming</w:t>
            </w:r>
          </w:p>
          <w:p w14:paraId="47C01A9E" w14:textId="27B7B2AE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0179D">
              <w:rPr>
                <w:sz w:val="20"/>
                <w:szCs w:val="20"/>
              </w:rPr>
              <w:t>eslissen</w:t>
            </w:r>
          </w:p>
          <w:p w14:paraId="2FC9F1F9" w14:textId="4D4E7E79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D0179D">
              <w:rPr>
                <w:sz w:val="20"/>
                <w:szCs w:val="20"/>
              </w:rPr>
              <w:t>sultaatgerichtheid</w:t>
            </w:r>
          </w:p>
          <w:p w14:paraId="71549760" w14:textId="5756C9D0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0179D">
              <w:rPr>
                <w:sz w:val="20"/>
                <w:szCs w:val="20"/>
              </w:rPr>
              <w:t>lannen en organiseren</w:t>
            </w:r>
          </w:p>
          <w:p w14:paraId="55402760" w14:textId="378912F2" w:rsidR="00D0179D" w:rsidRDefault="008D2112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179D">
              <w:rPr>
                <w:sz w:val="20"/>
                <w:szCs w:val="20"/>
              </w:rPr>
              <w:t>elegeren</w:t>
            </w:r>
          </w:p>
          <w:p w14:paraId="19335E20" w14:textId="77777777" w:rsidR="00D0179D" w:rsidRDefault="00D0179D" w:rsidP="00442B6E">
            <w:pPr>
              <w:rPr>
                <w:sz w:val="20"/>
                <w:szCs w:val="20"/>
              </w:rPr>
            </w:pPr>
          </w:p>
        </w:tc>
      </w:tr>
      <w:tr w:rsidR="00D0179D" w:rsidRPr="00824EDF" w14:paraId="345DE966" w14:textId="77777777" w:rsidTr="00815700">
        <w:tc>
          <w:tcPr>
            <w:tcW w:w="2206" w:type="dxa"/>
            <w:vMerge/>
          </w:tcPr>
          <w:p w14:paraId="6417248D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6E22038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 w:rsidRPr="00824EDF">
              <w:rPr>
                <w:sz w:val="20"/>
                <w:szCs w:val="20"/>
              </w:rPr>
              <w:t>Inwerktijd</w:t>
            </w:r>
          </w:p>
        </w:tc>
        <w:tc>
          <w:tcPr>
            <w:tcW w:w="4934" w:type="dxa"/>
            <w:gridSpan w:val="3"/>
          </w:tcPr>
          <w:p w14:paraId="0BFAECDF" w14:textId="7E4FEA47" w:rsidR="00D0179D" w:rsidRPr="00824EDF" w:rsidRDefault="008D2112" w:rsidP="00F44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D0179D">
              <w:rPr>
                <w:color w:val="000000"/>
                <w:sz w:val="20"/>
                <w:szCs w:val="20"/>
              </w:rPr>
              <w:t xml:space="preserve">et is noodzakelijk om regelmatig deel te nemen aan multidisciplinaire oefeningen en </w:t>
            </w:r>
            <w:r w:rsidR="00F44474">
              <w:rPr>
                <w:color w:val="000000"/>
                <w:sz w:val="20"/>
                <w:szCs w:val="20"/>
              </w:rPr>
              <w:t>bijscholingen</w:t>
            </w:r>
          </w:p>
        </w:tc>
      </w:tr>
      <w:tr w:rsidR="00D0179D" w:rsidRPr="00D52561" w14:paraId="11036442" w14:textId="77777777" w:rsidTr="00815700">
        <w:tc>
          <w:tcPr>
            <w:tcW w:w="2206" w:type="dxa"/>
            <w:vMerge/>
          </w:tcPr>
          <w:p w14:paraId="11CFC559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6AD2B242" w14:textId="77777777" w:rsidR="00D0179D" w:rsidRPr="00824EDF" w:rsidRDefault="00D0179D" w:rsidP="00442B6E">
            <w:pPr>
              <w:rPr>
                <w:sz w:val="20"/>
                <w:szCs w:val="20"/>
                <w:u w:val="single"/>
              </w:rPr>
            </w:pPr>
          </w:p>
          <w:p w14:paraId="300D8065" w14:textId="77777777" w:rsidR="00D0179D" w:rsidRPr="00D52561" w:rsidRDefault="00D0179D" w:rsidP="00442B6E">
            <w:pPr>
              <w:rPr>
                <w:b/>
                <w:sz w:val="20"/>
                <w:szCs w:val="20"/>
                <w:u w:val="single"/>
              </w:rPr>
            </w:pPr>
            <w:r w:rsidRPr="00D52561">
              <w:rPr>
                <w:b/>
                <w:sz w:val="20"/>
                <w:szCs w:val="20"/>
                <w:u w:val="single"/>
              </w:rPr>
              <w:t>Innovatie</w:t>
            </w:r>
          </w:p>
        </w:tc>
      </w:tr>
      <w:tr w:rsidR="00D0179D" w:rsidRPr="00824EDF" w14:paraId="1CB71E2D" w14:textId="77777777" w:rsidTr="00815700">
        <w:tc>
          <w:tcPr>
            <w:tcW w:w="2206" w:type="dxa"/>
            <w:vMerge/>
          </w:tcPr>
          <w:p w14:paraId="4A29E8FB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4DBB715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 w:rsidRPr="00824EDF">
              <w:rPr>
                <w:sz w:val="20"/>
                <w:szCs w:val="20"/>
              </w:rPr>
              <w:t>Vernieuwing</w:t>
            </w:r>
          </w:p>
        </w:tc>
        <w:tc>
          <w:tcPr>
            <w:tcW w:w="4934" w:type="dxa"/>
            <w:gridSpan w:val="3"/>
          </w:tcPr>
          <w:p w14:paraId="3C0B6890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0179D" w:rsidRPr="00824EDF" w14:paraId="0003FF77" w14:textId="77777777" w:rsidTr="00815700">
        <w:tc>
          <w:tcPr>
            <w:tcW w:w="2206" w:type="dxa"/>
            <w:vMerge/>
          </w:tcPr>
          <w:p w14:paraId="380D713A" w14:textId="77777777" w:rsidR="00D0179D" w:rsidRDefault="00D0179D" w:rsidP="00442B6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6BD7F7B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Jobeisen</w:t>
            </w:r>
            <w:proofErr w:type="spellEnd"/>
          </w:p>
        </w:tc>
        <w:tc>
          <w:tcPr>
            <w:tcW w:w="4934" w:type="dxa"/>
            <w:gridSpan w:val="3"/>
          </w:tcPr>
          <w:p w14:paraId="5ED0817A" w14:textId="77777777" w:rsidR="00D0179D" w:rsidRPr="00824EDF" w:rsidRDefault="00D0179D" w:rsidP="0044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14:paraId="346C190D" w14:textId="77777777" w:rsidR="005A25E3" w:rsidRPr="005A25E3" w:rsidRDefault="005A25E3" w:rsidP="005A25E3">
      <w:pPr>
        <w:rPr>
          <w:rFonts w:ascii="Arial" w:hAnsi="Arial" w:cs="Arial"/>
          <w:sz w:val="20"/>
          <w:szCs w:val="20"/>
        </w:rPr>
      </w:pPr>
    </w:p>
    <w:p w14:paraId="3209D0A1" w14:textId="5C48C664" w:rsidR="005A25E3" w:rsidRPr="005A25E3" w:rsidRDefault="005A25E3" w:rsidP="00662593">
      <w:pPr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</w:pPr>
      <w:r w:rsidRPr="005A25E3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lastRenderedPageBreak/>
        <w:t xml:space="preserve">Gezien om gevoegd te worden bij het besluit van </w:t>
      </w:r>
      <w:r w:rsidR="007663A4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 xml:space="preserve">3 december </w:t>
      </w:r>
      <w:r w:rsidR="009968E2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2020</w:t>
      </w:r>
      <w:r w:rsidRPr="005A25E3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 xml:space="preserve"> </w:t>
      </w:r>
      <w:r w:rsidR="00D0179D" w:rsidRPr="00D0179D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 xml:space="preserve">tot wijziging van het ministerieel besluit van </w:t>
      </w:r>
      <w:r w:rsidR="004F53DA" w:rsidRP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8 o</w:t>
      </w:r>
      <w:r w:rsid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k</w:t>
      </w:r>
      <w:r w:rsidR="004F53DA" w:rsidRP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tobe</w:t>
      </w:r>
      <w:r w:rsid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r</w:t>
      </w:r>
      <w:r w:rsidR="004F53DA" w:rsidRP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 xml:space="preserve"> 2016</w:t>
      </w:r>
      <w:r w:rsidR="004F53DA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 xml:space="preserve"> </w:t>
      </w:r>
      <w:r w:rsidR="00D0179D" w:rsidRPr="00D0179D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tot vaststelling van de functiebeschrijvingen van het operationeel personeel van de hulpverleningszones</w:t>
      </w:r>
      <w:r w:rsidR="00662593">
        <w:rPr>
          <w:rFonts w:ascii="Arial" w:eastAsia="Times New Roman" w:hAnsi="Arial" w:cs="Arial"/>
          <w:color w:val="000000"/>
          <w:sz w:val="20"/>
          <w:szCs w:val="20"/>
          <w:lang w:val="nl-BE" w:eastAsia="fr-BE"/>
        </w:rPr>
        <w:t>.</w:t>
      </w:r>
    </w:p>
    <w:sectPr w:rsidR="005A25E3" w:rsidRPr="005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9EB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C3F76"/>
    <w:multiLevelType w:val="hybridMultilevel"/>
    <w:tmpl w:val="D72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24A3A"/>
    <w:multiLevelType w:val="hybridMultilevel"/>
    <w:tmpl w:val="D326CE8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5A25E3"/>
    <w:rsid w:val="001333C3"/>
    <w:rsid w:val="001E4C27"/>
    <w:rsid w:val="0022285B"/>
    <w:rsid w:val="00224DE5"/>
    <w:rsid w:val="002B400A"/>
    <w:rsid w:val="0030137C"/>
    <w:rsid w:val="00312045"/>
    <w:rsid w:val="00354BEF"/>
    <w:rsid w:val="00357E19"/>
    <w:rsid w:val="00366B20"/>
    <w:rsid w:val="003720A8"/>
    <w:rsid w:val="003B5602"/>
    <w:rsid w:val="003C7F35"/>
    <w:rsid w:val="00404007"/>
    <w:rsid w:val="0042660B"/>
    <w:rsid w:val="00442B40"/>
    <w:rsid w:val="004A46C0"/>
    <w:rsid w:val="004D6945"/>
    <w:rsid w:val="004F1EB5"/>
    <w:rsid w:val="004F53DA"/>
    <w:rsid w:val="00572D0F"/>
    <w:rsid w:val="005A25E3"/>
    <w:rsid w:val="005F4B33"/>
    <w:rsid w:val="00662593"/>
    <w:rsid w:val="006962BF"/>
    <w:rsid w:val="006C6FB1"/>
    <w:rsid w:val="006F27C2"/>
    <w:rsid w:val="0070421F"/>
    <w:rsid w:val="007479AF"/>
    <w:rsid w:val="007663A4"/>
    <w:rsid w:val="00815700"/>
    <w:rsid w:val="00833B31"/>
    <w:rsid w:val="008B5E6F"/>
    <w:rsid w:val="008C0DDF"/>
    <w:rsid w:val="008D2112"/>
    <w:rsid w:val="00922F88"/>
    <w:rsid w:val="0098411D"/>
    <w:rsid w:val="009968E2"/>
    <w:rsid w:val="009E7F49"/>
    <w:rsid w:val="00A0204B"/>
    <w:rsid w:val="00A0257F"/>
    <w:rsid w:val="00A54A3C"/>
    <w:rsid w:val="00AA3E50"/>
    <w:rsid w:val="00B339F5"/>
    <w:rsid w:val="00B7610A"/>
    <w:rsid w:val="00C6326F"/>
    <w:rsid w:val="00C7665B"/>
    <w:rsid w:val="00CC0CCD"/>
    <w:rsid w:val="00CC7845"/>
    <w:rsid w:val="00D0179D"/>
    <w:rsid w:val="00D305C7"/>
    <w:rsid w:val="00D4517D"/>
    <w:rsid w:val="00D6362B"/>
    <w:rsid w:val="00DA3407"/>
    <w:rsid w:val="00DA47CB"/>
    <w:rsid w:val="00DA793C"/>
    <w:rsid w:val="00DD12C1"/>
    <w:rsid w:val="00E1134F"/>
    <w:rsid w:val="00E5508C"/>
    <w:rsid w:val="00F32F92"/>
    <w:rsid w:val="00F44474"/>
    <w:rsid w:val="00F729DB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F5A4"/>
  <w15:docId w15:val="{E65985EB-4598-4511-93ED-4618CE5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A25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25E3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nl-NL"/>
    </w:rPr>
  </w:style>
  <w:style w:type="character" w:customStyle="1" w:styleId="CommentaireCar">
    <w:name w:val="Commentaire Car"/>
    <w:basedOn w:val="Policepardfaut"/>
    <w:link w:val="Commentaire"/>
    <w:semiHidden/>
    <w:rsid w:val="005A25E3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25E3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En-tteCar">
    <w:name w:val="En-tête Car"/>
    <w:basedOn w:val="Policepardfaut"/>
    <w:link w:val="En-tte"/>
    <w:rsid w:val="005A25E3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Paragraphedeliste">
    <w:name w:val="List Paragraph"/>
    <w:basedOn w:val="Normal"/>
    <w:uiPriority w:val="34"/>
    <w:qFormat/>
    <w:rsid w:val="00D0179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0179D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79D"/>
    <w:pPr>
      <w:spacing w:after="200"/>
    </w:pPr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79D"/>
    <w:rPr>
      <w:rFonts w:ascii="Courier" w:eastAsia="Times New Roman" w:hAnsi="Courier" w:cs="Times New Roman"/>
      <w:b/>
      <w:bCs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D1A46ED4F645A1D1866A90B80D99" ma:contentTypeVersion="10" ma:contentTypeDescription="Create a new document." ma:contentTypeScope="" ma:versionID="cc3c6b94eae0aca22291f5c777668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44490-20FF-452E-9CD6-2E679C573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25AAA-0E52-4C30-AAEF-726F05EE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E1FE1-A056-4E94-B61F-3857E037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Wauthier Françoise</cp:lastModifiedBy>
  <cp:revision>3</cp:revision>
  <dcterms:created xsi:type="dcterms:W3CDTF">2021-01-22T10:52:00Z</dcterms:created>
  <dcterms:modified xsi:type="dcterms:W3CDTF">2021-01-22T10:53:00Z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0x0101006D0BD1A46ED4F645A1D1866A90B80D99</vt:lpwstr>
  </property>
</Properties>
</file>