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7" w:rsidRPr="00B766EB" w:rsidRDefault="00EB357F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12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06"/>
        <w:gridCol w:w="7076"/>
      </w:tblGrid>
      <w:tr w:rsidR="005A3477" w:rsidRPr="00B766EB" w:rsidTr="005A3477">
        <w:trPr>
          <w:trHeight w:val="367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:rsidR="005A3477" w:rsidRPr="00B766EB" w:rsidRDefault="005A3477">
            <w:pPr>
              <w:rPr>
                <w:lang w:val="fr-FR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B766EB" w:rsidRDefault="005A3477">
            <w:pPr>
              <w:rPr>
                <w:lang w:val="fr-FR"/>
              </w:rPr>
            </w:pPr>
          </w:p>
          <w:p w:rsidR="005A3477" w:rsidRPr="00B766EB" w:rsidRDefault="00EB4B3E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B766EB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5A3477" w:rsidRPr="00B766EB" w:rsidRDefault="005A3477">
            <w:pPr>
              <w:rPr>
                <w:lang w:val="fr-FR"/>
              </w:rPr>
            </w:pPr>
          </w:p>
        </w:tc>
      </w:tr>
      <w:tr w:rsidR="005A3477" w:rsidRPr="00B766EB" w:rsidTr="005A3477">
        <w:trPr>
          <w:trHeight w:val="366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:rsidR="005A3477" w:rsidRPr="00B766EB" w:rsidRDefault="005A3477">
            <w:pPr>
              <w:rPr>
                <w:lang w:val="fr-FR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3E" w:rsidRPr="00B766EB" w:rsidRDefault="00EB357F" w:rsidP="00EB4B3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>
              <w:rPr>
                <w:b/>
                <w:color w:val="0000FF"/>
                <w:sz w:val="36"/>
                <w:szCs w:val="36"/>
                <w:lang w:val="fr-FR"/>
              </w:rPr>
              <w:t>Expert</w:t>
            </w:r>
            <w:r w:rsidR="00EB4B3E" w:rsidRPr="00B766EB">
              <w:rPr>
                <w:b/>
                <w:color w:val="0000FF"/>
                <w:sz w:val="36"/>
                <w:szCs w:val="36"/>
                <w:lang w:val="fr-FR"/>
              </w:rPr>
              <w:t xml:space="preserve"> technico-administratif </w:t>
            </w:r>
          </w:p>
          <w:p w:rsidR="005A3477" w:rsidRPr="00B766EB" w:rsidRDefault="005A3477" w:rsidP="006400C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</w:p>
        </w:tc>
      </w:tr>
      <w:tr w:rsidR="006400C9" w:rsidRPr="00C3136E" w:rsidTr="005A3477">
        <w:tc>
          <w:tcPr>
            <w:tcW w:w="2206" w:type="dxa"/>
          </w:tcPr>
          <w:p w:rsidR="006400C9" w:rsidRPr="00B766EB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6400C9" w:rsidRPr="00B766EB" w:rsidRDefault="006400C9" w:rsidP="009A0481">
            <w:pPr>
              <w:rPr>
                <w:sz w:val="20"/>
                <w:szCs w:val="20"/>
                <w:lang w:val="fr-FR"/>
              </w:rPr>
            </w:pPr>
          </w:p>
          <w:p w:rsidR="00EB4B3E" w:rsidRPr="00B766EB" w:rsidRDefault="00EB4B3E" w:rsidP="00755756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766E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F5458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B766E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une fonction du cadre moyen</w:t>
            </w:r>
            <w:r w:rsidRPr="00B766EB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EB4B3E" w:rsidRPr="00B766EB" w:rsidRDefault="00EB4B3E" w:rsidP="00755756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EB4B3E" w:rsidRDefault="00EB4B3E" w:rsidP="00755756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766E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:rsidR="00167DE8" w:rsidRPr="00B766EB" w:rsidRDefault="00167DE8" w:rsidP="00755756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167DE8" w:rsidRPr="00CC1A4B" w:rsidRDefault="00167DE8" w:rsidP="00167DE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</w:t>
            </w: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e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l'article 119 de l'arrêté royal du 19 avril 2014 relatif au statut du personnel opérationnel des zones de secours.</w:t>
            </w:r>
          </w:p>
          <w:p w:rsidR="00167DE8" w:rsidRPr="00CC1A4B" w:rsidRDefault="00167DE8" w:rsidP="00167DE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167DE8" w:rsidRPr="00CC1A4B" w:rsidRDefault="00167DE8" w:rsidP="00167DE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de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l’a</w:t>
            </w:r>
            <w:r w:rsidRPr="001966A2">
              <w:rPr>
                <w:rFonts w:cs="Arial"/>
                <w:color w:val="000000"/>
                <w:sz w:val="20"/>
                <w:szCs w:val="20"/>
                <w:lang w:val="fr-FR"/>
              </w:rPr>
              <w:t>rrêté ministériel du 11 juin 2015 fixant la liste des fonctions allégées, adaptées visées à l'article 126, alinéa 3, de l'arrêté royal du 19 avril 2014 relatif au statut administratif du personnel opérationnel des zones de secours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67DE8" w:rsidRPr="00167DE8" w:rsidRDefault="00167DE8" w:rsidP="00EB4B3E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C3136E" w:rsidTr="005A3477">
        <w:tc>
          <w:tcPr>
            <w:tcW w:w="2206" w:type="dxa"/>
          </w:tcPr>
          <w:p w:rsidR="009A0481" w:rsidRPr="00B766EB" w:rsidRDefault="00EB4B3E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766EB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9A0481" w:rsidRPr="00B766EB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B766EB" w:rsidRPr="00B766EB" w:rsidRDefault="00B766EB" w:rsidP="006400C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766E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Assurer le suivi et répartir une multitude de tâches administratives ou techniques d'exécution, dans le cadre des 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missions</w:t>
            </w:r>
            <w:r w:rsidRPr="00B766E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base afin de garantir un fonctionnement administratif ou technique de qualité de la zone.</w:t>
            </w:r>
          </w:p>
          <w:p w:rsidR="009A0481" w:rsidRPr="00065C94" w:rsidRDefault="009A0481" w:rsidP="00065C94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C3136E" w:rsidTr="00A66F68">
        <w:tc>
          <w:tcPr>
            <w:tcW w:w="2206" w:type="dxa"/>
          </w:tcPr>
          <w:p w:rsidR="009A0481" w:rsidRPr="00B766EB" w:rsidRDefault="00EB4B3E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766EB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9A0481" w:rsidRPr="00B766EB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B766EB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</w:tcPr>
          <w:p w:rsidR="009A0481" w:rsidRPr="00B766EB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9A0481" w:rsidRDefault="00B766EB" w:rsidP="0051462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EB357F">
              <w:rPr>
                <w:sz w:val="20"/>
                <w:szCs w:val="20"/>
                <w:lang w:val="fr-FR"/>
              </w:rPr>
              <w:t xml:space="preserve">’expert </w:t>
            </w:r>
            <w:r>
              <w:rPr>
                <w:sz w:val="20"/>
                <w:szCs w:val="20"/>
                <w:lang w:val="fr-FR"/>
              </w:rPr>
              <w:t>technico-administratif collabor</w:t>
            </w:r>
            <w:r w:rsidR="00EB357F">
              <w:rPr>
                <w:sz w:val="20"/>
                <w:szCs w:val="20"/>
                <w:lang w:val="fr-FR"/>
              </w:rPr>
              <w:t xml:space="preserve">e avec une équipe </w:t>
            </w:r>
            <w:r>
              <w:rPr>
                <w:sz w:val="20"/>
                <w:szCs w:val="20"/>
                <w:lang w:val="fr-FR"/>
              </w:rPr>
              <w:t>administrative ou technique</w:t>
            </w:r>
            <w:r w:rsidR="00C11558">
              <w:rPr>
                <w:sz w:val="20"/>
                <w:szCs w:val="20"/>
                <w:lang w:val="fr-FR"/>
              </w:rPr>
              <w:t xml:space="preserve"> </w:t>
            </w:r>
            <w:r w:rsidR="00C11558" w:rsidRPr="00014198">
              <w:rPr>
                <w:sz w:val="20"/>
                <w:szCs w:val="20"/>
                <w:lang w:val="fr-FR"/>
              </w:rPr>
              <w:t>restreinte</w:t>
            </w:r>
            <w:r>
              <w:rPr>
                <w:sz w:val="20"/>
                <w:szCs w:val="20"/>
                <w:lang w:val="fr-FR"/>
              </w:rPr>
              <w:t xml:space="preserve"> et y exerce une tâche de direction.</w:t>
            </w:r>
            <w:r w:rsidR="006400C9" w:rsidRPr="00B766EB">
              <w:rPr>
                <w:sz w:val="20"/>
                <w:szCs w:val="20"/>
                <w:lang w:val="fr-FR"/>
              </w:rPr>
              <w:t xml:space="preserve"> </w:t>
            </w:r>
          </w:p>
          <w:p w:rsidR="00EB357F" w:rsidRPr="00B766EB" w:rsidRDefault="00EB357F" w:rsidP="00514624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C3136E" w:rsidTr="00A66F68">
        <w:tc>
          <w:tcPr>
            <w:tcW w:w="2206" w:type="dxa"/>
          </w:tcPr>
          <w:p w:rsidR="009A0481" w:rsidRPr="00B766EB" w:rsidRDefault="00C1155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014198">
              <w:rPr>
                <w:b/>
                <w:color w:val="0000FF"/>
                <w:sz w:val="20"/>
                <w:szCs w:val="20"/>
                <w:lang w:val="fr-FR"/>
              </w:rPr>
              <w:t>Tâches-</w:t>
            </w:r>
            <w:r w:rsidR="00B766EB" w:rsidRPr="00014198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Pr="00014198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="00B766EB" w:rsidRPr="00014198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7076" w:type="dxa"/>
          </w:tcPr>
          <w:p w:rsidR="009A0481" w:rsidRPr="00B766EB" w:rsidRDefault="009A0481" w:rsidP="00A66F68">
            <w:pPr>
              <w:rPr>
                <w:sz w:val="20"/>
                <w:szCs w:val="20"/>
                <w:lang w:val="fr-FR"/>
              </w:rPr>
            </w:pPr>
          </w:p>
          <w:p w:rsidR="00A66F68" w:rsidRPr="00B766EB" w:rsidRDefault="00B766EB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014198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C11558" w:rsidRPr="00014198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014198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A66F68" w:rsidRPr="00B766EB" w:rsidRDefault="00A66F68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B766EB" w:rsidRDefault="00B766EB" w:rsidP="00123D5E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Diriger et assumer la responsabilité d'une équipe restreinte </w:t>
            </w:r>
            <w:r w:rsidR="00CF6468">
              <w:rPr>
                <w:rFonts w:cs="Arial"/>
                <w:color w:val="000000"/>
                <w:sz w:val="20"/>
                <w:szCs w:val="20"/>
                <w:lang w:val="fr-FR"/>
              </w:rPr>
              <w:t>d’assistants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en exécutant un ensemble de tâches administratives ou techniques données, afin d'assurer la disponibilité permanente des moyens de la zone et soutenir son bon fonctionnement administratif, technique et opérationnel.</w:t>
            </w:r>
          </w:p>
          <w:p w:rsidR="00123D5E" w:rsidRPr="00B766EB" w:rsidRDefault="00123D5E" w:rsidP="00123D5E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A66F68" w:rsidRPr="00B766EB" w:rsidRDefault="00A66F68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B766EB" w:rsidRPr="0088212C" w:rsidRDefault="00B766EB" w:rsidP="00B766EB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A02B45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A02B45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:rsidR="00B766EB" w:rsidRDefault="00B766EB" w:rsidP="00123D5E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Initier et diriger 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un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débriefing opérationnel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23D5E" w:rsidRPr="00B766EB" w:rsidRDefault="00B766EB" w:rsidP="00123D5E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Diriger un groupe restreint de personnes en ce qui concerne le maintien opérationnel de (une partie du) matériel roulant ou non roulant d'un poste, y compris la formulation de propositions </w:t>
            </w:r>
            <w:r w:rsidR="00065C94">
              <w:rPr>
                <w:rFonts w:cs="Arial"/>
                <w:color w:val="000000"/>
                <w:sz w:val="20"/>
                <w:szCs w:val="20"/>
                <w:lang w:val="fr-FR"/>
              </w:rPr>
              <w:t>de commandes et marchés publics nécessaires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23D5E" w:rsidRPr="00014198" w:rsidRDefault="00514624" w:rsidP="00123D5E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>Mettre</w:t>
            </w:r>
            <w:r w:rsidR="00065C94"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au point </w:t>
            </w:r>
            <w:r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>le</w:t>
            </w:r>
            <w:r w:rsidR="00065C94"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planning du personnel (congés, composition des équipes, absences, etc.) et </w:t>
            </w:r>
            <w:r w:rsidR="00C11558"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le planning </w:t>
            </w:r>
            <w:r w:rsidR="00065C94"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>d'exercices dans un poste</w:t>
            </w:r>
            <w:r w:rsidR="00EB357F" w:rsidRPr="00014198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23D5E" w:rsidRPr="00B766EB" w:rsidRDefault="00065C94" w:rsidP="00123D5E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Initier et donner des formations et exercices, rédiger des fiches d'exercice et tenir à jour le planning d'exercice ainsi que l'enregistrement des présences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23D5E" w:rsidRPr="00B766EB" w:rsidRDefault="00065C94" w:rsidP="00123D5E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Rédiger des rapports d'intervention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23D5E" w:rsidRPr="00B766EB" w:rsidRDefault="00065C94" w:rsidP="00123D5E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Assurer l'ensemble des tâches technico-administratives, demandées également au sapeur-pompier ou au caporal (étant donné que les sergents n'exerceront pas tous des missions de direction au niveau technique et administratif).</w:t>
            </w:r>
          </w:p>
          <w:p w:rsidR="004A6EBD" w:rsidRPr="00B766EB" w:rsidRDefault="00065C94" w:rsidP="004A6EBD">
            <w:pPr>
              <w:numPr>
                <w:ilvl w:val="0"/>
                <w:numId w:val="7"/>
              </w:num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Mener des contrôles de prévention incendie et fournir un avis en matière de prévention incendie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4A6EBD" w:rsidRPr="00B766EB" w:rsidRDefault="00065C94" w:rsidP="004A6EB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Effectuer des analyses des risques et des visites sur le terrain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4A6EBD" w:rsidRPr="00B766EB" w:rsidRDefault="00065C94" w:rsidP="004A6EB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lastRenderedPageBreak/>
              <w:t>Evaluer le fonctionnement du poste, tant d'un point de vue opérationnel qu'administratif</w:t>
            </w:r>
            <w:r w:rsidR="00EB357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4A6EBD" w:rsidRPr="00B766EB" w:rsidRDefault="00065C94" w:rsidP="004A6EB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Collaborer à la gestion financière et du personnel de la zone.</w:t>
            </w:r>
          </w:p>
          <w:p w:rsidR="009A0481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EB357F" w:rsidRDefault="00EB357F" w:rsidP="009A0481">
            <w:pPr>
              <w:rPr>
                <w:sz w:val="20"/>
                <w:szCs w:val="20"/>
                <w:lang w:val="fr-FR"/>
              </w:rPr>
            </w:pPr>
          </w:p>
          <w:p w:rsidR="00EB357F" w:rsidRPr="00B766EB" w:rsidRDefault="00EB357F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B65117" w:rsidRPr="00C3136E" w:rsidTr="00A66F68">
        <w:tc>
          <w:tcPr>
            <w:tcW w:w="2206" w:type="dxa"/>
          </w:tcPr>
          <w:p w:rsidR="00B65117" w:rsidRPr="00B766EB" w:rsidRDefault="00065C94" w:rsidP="00065C94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Place dans l'organisation</w:t>
            </w:r>
          </w:p>
        </w:tc>
        <w:tc>
          <w:tcPr>
            <w:tcW w:w="7076" w:type="dxa"/>
          </w:tcPr>
          <w:p w:rsidR="00B65117" w:rsidRPr="00B766EB" w:rsidRDefault="00B65117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065C94" w:rsidRPr="005D4B65" w:rsidRDefault="00065C94" w:rsidP="00065C94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est dirigée par </w:t>
            </w:r>
            <w:r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065C94" w:rsidRDefault="00065C94" w:rsidP="00B65117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Dans des situations administratives ou techniques, il est </w:t>
            </w:r>
            <w:r w:rsidR="00EB357F">
              <w:rPr>
                <w:rFonts w:cs="Arial"/>
                <w:sz w:val="20"/>
                <w:szCs w:val="20"/>
                <w:lang w:val="fr-FR"/>
              </w:rPr>
              <w:t>placé sous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la direction fonctionnelle d'un adjudant, </w:t>
            </w:r>
            <w:r w:rsidR="00EB357F">
              <w:rPr>
                <w:rFonts w:cs="Arial"/>
                <w:sz w:val="20"/>
                <w:szCs w:val="20"/>
                <w:lang w:val="fr-FR"/>
              </w:rPr>
              <w:t xml:space="preserve">du </w:t>
            </w:r>
            <w:r>
              <w:rPr>
                <w:rFonts w:cs="Arial"/>
                <w:sz w:val="20"/>
                <w:szCs w:val="20"/>
                <w:lang w:val="fr-FR"/>
              </w:rPr>
              <w:t>cadre supérieur ou administratif</w:t>
            </w:r>
            <w:r w:rsidR="00EB357F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B65117" w:rsidRPr="00B766EB" w:rsidRDefault="00B65117" w:rsidP="00B65117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EB357F" w:rsidRPr="005D4B65" w:rsidRDefault="00065C94" w:rsidP="00065C94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dirige </w:t>
            </w:r>
            <w:r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B65117" w:rsidRDefault="00065C94" w:rsidP="0065330A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Un groupe restreint de </w:t>
            </w:r>
            <w:r w:rsidR="0065330A">
              <w:rPr>
                <w:rFonts w:cs="Arial"/>
                <w:sz w:val="20"/>
                <w:szCs w:val="20"/>
                <w:lang w:val="fr-FR"/>
              </w:rPr>
              <w:t>membres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du cadre de base.</w:t>
            </w:r>
          </w:p>
          <w:p w:rsidR="00EB357F" w:rsidRPr="00514624" w:rsidRDefault="00EB357F" w:rsidP="0065330A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400C9" w:rsidRPr="00C3136E" w:rsidTr="00A66F68">
        <w:tc>
          <w:tcPr>
            <w:tcW w:w="2206" w:type="dxa"/>
          </w:tcPr>
          <w:p w:rsidR="006400C9" w:rsidRPr="00B766EB" w:rsidRDefault="006400C9" w:rsidP="00C24CD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6400C9" w:rsidRPr="00B766EB" w:rsidRDefault="006400C9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</w:tcPr>
          <w:p w:rsidR="006400C9" w:rsidRPr="00B766EB" w:rsidRDefault="006400C9" w:rsidP="00C24CDE">
            <w:pPr>
              <w:rPr>
                <w:sz w:val="20"/>
                <w:szCs w:val="20"/>
                <w:lang w:val="fr-FR"/>
              </w:rPr>
            </w:pPr>
          </w:p>
          <w:p w:rsidR="00065C94" w:rsidRDefault="00065C94" w:rsidP="00065C94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:rsidR="00065C94" w:rsidRPr="00A02B45" w:rsidRDefault="00065C94" w:rsidP="00065C94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:rsidR="00065C94" w:rsidRPr="00A02B45" w:rsidRDefault="00065C94" w:rsidP="00065C94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:rsidR="00065C94" w:rsidRDefault="00065C94" w:rsidP="00065C94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:rsidR="00EB357F" w:rsidRPr="00A02B45" w:rsidRDefault="00EB357F" w:rsidP="00EB357F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400C9" w:rsidRDefault="00EB357F" w:rsidP="00065C94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</w:t>
            </w:r>
            <w:r w:rsidR="00065C94">
              <w:rPr>
                <w:sz w:val="20"/>
                <w:szCs w:val="20"/>
                <w:lang w:val="fr-FR"/>
              </w:rPr>
              <w:t xml:space="preserve">t disponible dans la </w:t>
            </w:r>
            <w:r w:rsidR="001C774E">
              <w:rPr>
                <w:sz w:val="20"/>
                <w:szCs w:val="20"/>
                <w:lang w:val="fr-FR"/>
              </w:rPr>
              <w:t xml:space="preserve">description de </w:t>
            </w:r>
            <w:r w:rsidR="00065C94">
              <w:rPr>
                <w:sz w:val="20"/>
                <w:szCs w:val="20"/>
                <w:lang w:val="fr-FR"/>
              </w:rPr>
              <w:t>fonction connexe (sergent</w:t>
            </w:r>
            <w:r>
              <w:rPr>
                <w:sz w:val="20"/>
                <w:szCs w:val="20"/>
                <w:lang w:val="fr-FR"/>
              </w:rPr>
              <w:t>, adjudant</w:t>
            </w:r>
            <w:r w:rsidR="00065C9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050E7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secours.</w:t>
            </w:r>
          </w:p>
          <w:p w:rsidR="00EB357F" w:rsidRPr="00B766EB" w:rsidRDefault="00EB357F" w:rsidP="00065C94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</w:tbl>
    <w:p w:rsidR="00C1200D" w:rsidRPr="00B766EB" w:rsidRDefault="00C1200D">
      <w:pPr>
        <w:rPr>
          <w:lang w:val="fr-FR"/>
        </w:rPr>
      </w:pPr>
    </w:p>
    <w:p w:rsidR="00CC5128" w:rsidRPr="00B766EB" w:rsidRDefault="00CC5128">
      <w:pPr>
        <w:rPr>
          <w:lang w:val="fr-FR"/>
        </w:rPr>
      </w:pPr>
    </w:p>
    <w:p w:rsidR="00CC5128" w:rsidRPr="00B766EB" w:rsidRDefault="00CC5128">
      <w:pPr>
        <w:rPr>
          <w:lang w:val="fr-FR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EB357F" w:rsidRPr="007335DC" w:rsidRDefault="00EB357F" w:rsidP="00EB357F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C4FE1" w:rsidRPr="00B766EB" w:rsidRDefault="00EC4FE1">
      <w:pPr>
        <w:rPr>
          <w:lang w:val="fr-FR"/>
        </w:rPr>
      </w:pPr>
    </w:p>
    <w:sectPr w:rsidR="00EC4FE1" w:rsidRPr="00B766EB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AF" w:rsidRDefault="007369AF" w:rsidP="008F4853">
      <w:r>
        <w:separator/>
      </w:r>
    </w:p>
  </w:endnote>
  <w:endnote w:type="continuationSeparator" w:id="0">
    <w:p w:rsidR="007369AF" w:rsidRDefault="007369AF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AF" w:rsidRDefault="007369AF" w:rsidP="008F4853">
      <w:r>
        <w:separator/>
      </w:r>
    </w:p>
  </w:footnote>
  <w:footnote w:type="continuationSeparator" w:id="0">
    <w:p w:rsidR="007369AF" w:rsidRDefault="007369AF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4198"/>
    <w:rsid w:val="00026778"/>
    <w:rsid w:val="00065C94"/>
    <w:rsid w:val="000B7C57"/>
    <w:rsid w:val="00123D5E"/>
    <w:rsid w:val="00145532"/>
    <w:rsid w:val="00167DE8"/>
    <w:rsid w:val="001B122E"/>
    <w:rsid w:val="001C774E"/>
    <w:rsid w:val="001F4078"/>
    <w:rsid w:val="002E18D9"/>
    <w:rsid w:val="003204FF"/>
    <w:rsid w:val="0035708C"/>
    <w:rsid w:val="00377A38"/>
    <w:rsid w:val="004A6EBD"/>
    <w:rsid w:val="00514624"/>
    <w:rsid w:val="005A3477"/>
    <w:rsid w:val="006400C9"/>
    <w:rsid w:val="0065330A"/>
    <w:rsid w:val="006A163E"/>
    <w:rsid w:val="006D664B"/>
    <w:rsid w:val="007369AF"/>
    <w:rsid w:val="00755756"/>
    <w:rsid w:val="007575B6"/>
    <w:rsid w:val="007E416B"/>
    <w:rsid w:val="007F2A66"/>
    <w:rsid w:val="00801A87"/>
    <w:rsid w:val="008655BE"/>
    <w:rsid w:val="008F4853"/>
    <w:rsid w:val="00917175"/>
    <w:rsid w:val="00927DFA"/>
    <w:rsid w:val="00981462"/>
    <w:rsid w:val="00993750"/>
    <w:rsid w:val="009A0481"/>
    <w:rsid w:val="00A443A9"/>
    <w:rsid w:val="00A66F68"/>
    <w:rsid w:val="00AE36ED"/>
    <w:rsid w:val="00B42660"/>
    <w:rsid w:val="00B65117"/>
    <w:rsid w:val="00B766EB"/>
    <w:rsid w:val="00B85459"/>
    <w:rsid w:val="00B92E66"/>
    <w:rsid w:val="00BC5EB7"/>
    <w:rsid w:val="00BD6A6C"/>
    <w:rsid w:val="00C11558"/>
    <w:rsid w:val="00C1200D"/>
    <w:rsid w:val="00C3136E"/>
    <w:rsid w:val="00C42063"/>
    <w:rsid w:val="00CC5128"/>
    <w:rsid w:val="00CF6468"/>
    <w:rsid w:val="00D27580"/>
    <w:rsid w:val="00D93787"/>
    <w:rsid w:val="00DB2862"/>
    <w:rsid w:val="00E51694"/>
    <w:rsid w:val="00E9399D"/>
    <w:rsid w:val="00EB357F"/>
    <w:rsid w:val="00EB4B3E"/>
    <w:rsid w:val="00EC4FE1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93C6-5CA9-4A7B-9F89-35DF87FF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2016-04-19T09:32:00Z</dcterms:created>
  <dcterms:modified xsi:type="dcterms:W3CDTF">2016-04-19T09:32:00Z</dcterms:modified>
</cp:coreProperties>
</file>